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544B16" w:rsidRPr="00544B16" w:rsidRDefault="00B32C61" w:rsidP="00544B16">
            <w:pPr>
              <w:rPr>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544B16">
                  <w:rPr>
                    <w:rFonts w:ascii="Arial" w:hAnsi="Arial"/>
                    <w:b/>
                    <w:bCs/>
                    <w:sz w:val="26"/>
                    <w:szCs w:val="26"/>
                    <w:rtl/>
                  </w:rPr>
                  <w:t>שופט</w:t>
                </w:r>
                <w:r w:rsidR="00544B16" w:rsidRPr="00544B16">
                  <w:rPr>
                    <w:rFonts w:ascii="Arial" w:hAnsi="Arial" w:hint="cs"/>
                    <w:b/>
                    <w:bCs/>
                    <w:sz w:val="26"/>
                    <w:szCs w:val="26"/>
                    <w:rtl/>
                  </w:rPr>
                  <w:t>ים</w:t>
                </w:r>
              </w:sdtContent>
            </w:sdt>
            <w:r w:rsidR="006816EC" w:rsidRPr="00544B16">
              <w:rPr>
                <w:rFonts w:ascii="Arial" w:hAnsi="Arial" w:hint="cs"/>
                <w:b/>
                <w:bCs/>
                <w:sz w:val="26"/>
                <w:szCs w:val="26"/>
                <w:rtl/>
              </w:rPr>
              <w:t xml:space="preserve"> </w:t>
            </w:r>
            <w:r w:rsidR="00544B16" w:rsidRPr="00544B16">
              <w:rPr>
                <w:rFonts w:ascii="Arial" w:hAnsi="Arial" w:hint="cs"/>
                <w:b/>
                <w:bCs/>
                <w:sz w:val="26"/>
                <w:szCs w:val="26"/>
                <w:rtl/>
              </w:rPr>
              <w:t xml:space="preserve">יונה </w:t>
            </w:r>
            <w:sdt>
              <w:sdtPr>
                <w:rPr>
                  <w:b/>
                  <w:bCs/>
                  <w:sz w:val="26"/>
                  <w:szCs w:val="26"/>
                  <w:rtl/>
                </w:rPr>
                <w:alias w:val="1573"/>
                <w:tag w:val="1573"/>
                <w:id w:val="407734867"/>
                <w:text w:multiLine="1"/>
              </w:sdtPr>
              <w:sdtEndPr/>
              <w:sdtContent>
                <w:r w:rsidRPr="00544B16">
                  <w:rPr>
                    <w:rFonts w:ascii="Arial" w:hAnsi="Arial"/>
                    <w:b/>
                    <w:bCs/>
                    <w:sz w:val="26"/>
                    <w:szCs w:val="26"/>
                    <w:rtl/>
                  </w:rPr>
                  <w:t>אטדגי</w:t>
                </w:r>
              </w:sdtContent>
            </w:sdt>
            <w:r w:rsidR="00544B16" w:rsidRPr="00544B16">
              <w:rPr>
                <w:rFonts w:hint="cs"/>
                <w:b/>
                <w:bCs/>
                <w:sz w:val="26"/>
                <w:szCs w:val="26"/>
                <w:rtl/>
              </w:rPr>
              <w:t>, אב"ד, עידית ברקוביץ, טל לוי-מיכאלי</w:t>
            </w:r>
          </w:p>
          <w:p w:rsidR="006816EC" w:rsidRPr="00CD0055" w:rsidRDefault="006816EC" w:rsidP="00544B16">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CF64EB" w:rsidRDefault="00544B16" w:rsidP="00544B16">
                <w:pPr>
                  <w:rPr>
                    <w:rFonts w:ascii="Arial (W1)" w:hAnsi="Arial (W1)"/>
                    <w:b/>
                    <w:bCs/>
                    <w:noProof w:val="0"/>
                    <w:sz w:val="26"/>
                    <w:szCs w:val="26"/>
                  </w:rPr>
                </w:pPr>
                <w:r>
                  <w:rPr>
                    <w:rFonts w:hint="cs"/>
                    <w:b/>
                    <w:bCs/>
                    <w:noProof w:val="0"/>
                    <w:sz w:val="26"/>
                    <w:szCs w:val="26"/>
                    <w:rtl/>
                  </w:rPr>
                  <w:t xml:space="preserve">המערער: </w:t>
                </w:r>
              </w:p>
            </w:sdtContent>
          </w:sdt>
        </w:tc>
        <w:tc>
          <w:tcPr>
            <w:tcW w:w="5571" w:type="dxa"/>
          </w:tcPr>
          <w:p w:rsidR="006816EC" w:rsidRPr="00CD0055" w:rsidRDefault="006816EC">
            <w:pPr>
              <w:rPr>
                <w:rFonts w:ascii="Arial (W1)" w:hAnsi="Arial (W1)"/>
                <w:b/>
                <w:bCs/>
                <w:noProof w:val="0"/>
                <w:sz w:val="26"/>
                <w:szCs w:val="26"/>
                <w:rtl/>
              </w:rPr>
            </w:pPr>
          </w:p>
          <w:p w:rsidR="00295DD1" w:rsidRDefault="00E2619B">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שאול שגיא</w:t>
                </w:r>
              </w:sdtContent>
            </w:sdt>
          </w:p>
          <w:p w:rsidR="006816EC" w:rsidRPr="00CD0055" w:rsidRDefault="00295DD1">
            <w:pPr>
              <w:rPr>
                <w:rFonts w:ascii="Arial (W1)" w:hAnsi="Arial (W1)"/>
                <w:b/>
                <w:bCs/>
                <w:noProof w:val="0"/>
                <w:sz w:val="26"/>
                <w:szCs w:val="26"/>
              </w:rPr>
            </w:pPr>
            <w:r>
              <w:rPr>
                <w:rFonts w:hint="cs"/>
                <w:sz w:val="26"/>
                <w:szCs w:val="26"/>
                <w:rtl/>
              </w:rPr>
              <w:t xml:space="preserve">ע"י ב"כ </w:t>
            </w:r>
            <w:r w:rsidRPr="006C1CD0">
              <w:rPr>
                <w:rFonts w:hint="cs"/>
                <w:sz w:val="26"/>
                <w:szCs w:val="26"/>
                <w:rtl/>
              </w:rPr>
              <w:t>עו</w:t>
            </w:r>
            <w:r w:rsidR="006C1CD0" w:rsidRPr="006C1CD0">
              <w:rPr>
                <w:rFonts w:hint="cs"/>
                <w:sz w:val="26"/>
                <w:szCs w:val="26"/>
                <w:rtl/>
              </w:rPr>
              <w:t>ה</w:t>
            </w:r>
            <w:r w:rsidRPr="006C1CD0">
              <w:rPr>
                <w:rFonts w:hint="cs"/>
                <w:sz w:val="26"/>
                <w:szCs w:val="26"/>
                <w:rtl/>
              </w:rPr>
              <w:t>"ד</w:t>
            </w:r>
            <w:r w:rsidR="006C1CD0" w:rsidRPr="006C1CD0">
              <w:rPr>
                <w:rFonts w:ascii="Arial (W1)" w:hAnsi="Arial (W1)" w:hint="cs"/>
                <w:noProof w:val="0"/>
                <w:sz w:val="26"/>
                <w:szCs w:val="26"/>
                <w:rtl/>
              </w:rPr>
              <w:t xml:space="preserve"> אביתר אנגלרד ומורן ציגלר</w:t>
            </w:r>
            <w:r w:rsidR="006C1CD0">
              <w:rPr>
                <w:rFonts w:ascii="Arial (W1)" w:hAnsi="Arial (W1)" w:hint="cs"/>
                <w:b/>
                <w:bCs/>
                <w:noProof w:val="0"/>
                <w:sz w:val="26"/>
                <w:szCs w:val="26"/>
                <w:rtl/>
              </w:rPr>
              <w:t xml:space="preserve"> </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544B16" w:rsidP="00544B16">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E2619B" w:rsidP="00544B16">
            <w:pPr>
              <w:rPr>
                <w:rFonts w:ascii="Arial (W1)" w:hAnsi="Arial (W1)"/>
                <w:b/>
                <w:bCs/>
                <w:noProof w:val="0"/>
                <w:sz w:val="26"/>
                <w:szCs w:val="26"/>
              </w:rPr>
            </w:pPr>
            <w:sdt>
              <w:sdtPr>
                <w:rPr>
                  <w:rFonts w:hint="cs"/>
                  <w:sz w:val="26"/>
                  <w:szCs w:val="26"/>
                  <w:rtl/>
                </w:rPr>
                <w:alias w:val="1184"/>
                <w:tag w:val="1184"/>
                <w:id w:val="-910234160"/>
                <w:text w:multiLine="1"/>
              </w:sdtPr>
              <w:sdtEndPr/>
              <w:sdtContent>
                <w:r w:rsidR="00544B16">
                  <w:rPr>
                    <w:rFonts w:hint="cs"/>
                    <w:b/>
                    <w:bCs/>
                    <w:noProof w:val="0"/>
                    <w:sz w:val="26"/>
                    <w:szCs w:val="26"/>
                    <w:rtl/>
                  </w:rPr>
                  <w:t xml:space="preserve">המשיבות: </w:t>
                </w:r>
              </w:sdtContent>
            </w:sdt>
          </w:p>
        </w:tc>
        <w:tc>
          <w:tcPr>
            <w:tcW w:w="5571" w:type="dxa"/>
          </w:tcPr>
          <w:p w:rsidR="006816EC" w:rsidRPr="00CD0055" w:rsidRDefault="006816EC">
            <w:pPr>
              <w:rPr>
                <w:rFonts w:ascii="Arial (W1)" w:hAnsi="Arial (W1)"/>
                <w:b/>
                <w:bCs/>
                <w:noProof w:val="0"/>
                <w:sz w:val="26"/>
                <w:szCs w:val="26"/>
                <w:rtl/>
              </w:rPr>
            </w:pPr>
          </w:p>
          <w:p w:rsidR="00295DD1" w:rsidRDefault="00E2619B">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חנה דרעי</w:t>
                </w:r>
              </w:sdtContent>
            </w:sdt>
          </w:p>
          <w:p w:rsidR="00295DD1" w:rsidRDefault="00E2619B">
            <w:pPr>
              <w:rPr>
                <w:sz w:val="26"/>
                <w:szCs w:val="26"/>
                <w:rtl/>
              </w:rPr>
            </w:pPr>
            <w:sdt>
              <w:sdtPr>
                <w:rPr>
                  <w:rFonts w:hint="cs"/>
                  <w:sz w:val="26"/>
                  <w:szCs w:val="26"/>
                  <w:rtl/>
                </w:rPr>
                <w:alias w:val="1571"/>
                <w:tag w:val="1571"/>
                <w:id w:val="-1113593103"/>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222602088"/>
                <w:text w:multiLine="1"/>
              </w:sdtPr>
              <w:sdtEndPr/>
              <w:sdtContent>
                <w:r w:rsidR="006B5553">
                  <w:rPr>
                    <w:rFonts w:hint="cs"/>
                    <w:b/>
                    <w:bCs/>
                    <w:noProof w:val="0"/>
                    <w:sz w:val="26"/>
                    <w:szCs w:val="26"/>
                    <w:rtl/>
                  </w:rPr>
                  <w:t>אירה טיטלבאום</w:t>
                </w:r>
              </w:sdtContent>
            </w:sdt>
          </w:p>
          <w:p w:rsidR="006816EC" w:rsidRPr="00CD0055" w:rsidRDefault="00295DD1">
            <w:pPr>
              <w:rPr>
                <w:rFonts w:ascii="Arial (W1)" w:hAnsi="Arial (W1)"/>
                <w:b/>
                <w:bCs/>
                <w:noProof w:val="0"/>
                <w:sz w:val="26"/>
                <w:szCs w:val="26"/>
              </w:rPr>
            </w:pPr>
            <w:r>
              <w:rPr>
                <w:rFonts w:hint="cs"/>
                <w:sz w:val="26"/>
                <w:szCs w:val="26"/>
                <w:rtl/>
              </w:rPr>
              <w:t>ע"י ב"כ עו"</w:t>
            </w:r>
            <w:r w:rsidRPr="006C1CD0">
              <w:rPr>
                <w:rFonts w:hint="cs"/>
                <w:sz w:val="26"/>
                <w:szCs w:val="26"/>
                <w:rtl/>
              </w:rPr>
              <w:t>ד</w:t>
            </w:r>
            <w:r w:rsidR="006C1CD0" w:rsidRPr="006C1CD0">
              <w:rPr>
                <w:rFonts w:ascii="Arial (W1)" w:hAnsi="Arial (W1)" w:hint="cs"/>
                <w:noProof w:val="0"/>
                <w:sz w:val="26"/>
                <w:szCs w:val="26"/>
                <w:rtl/>
              </w:rPr>
              <w:t xml:space="preserve"> צ'רלי בוזגלו</w:t>
            </w:r>
            <w:r w:rsidR="006C1CD0">
              <w:rPr>
                <w:rFonts w:ascii="Arial (W1)" w:hAnsi="Arial (W1)" w:hint="cs"/>
                <w:b/>
                <w:bCs/>
                <w:noProof w:val="0"/>
                <w:sz w:val="26"/>
                <w:szCs w:val="26"/>
                <w:rtl/>
              </w:rPr>
              <w:t xml:space="preserve">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544B16">
      <w:pPr>
        <w:spacing w:line="360" w:lineRule="auto"/>
        <w:jc w:val="both"/>
        <w:rPr>
          <w:rFonts w:ascii="Arial" w:hAnsi="Arial"/>
          <w:noProof w:val="0"/>
          <w:rtl/>
        </w:rPr>
      </w:pPr>
      <w:r w:rsidRPr="00544B16">
        <w:rPr>
          <w:rFonts w:ascii="Arial" w:hAnsi="Arial" w:hint="cs"/>
          <w:b/>
          <w:bCs/>
          <w:noProof w:val="0"/>
          <w:u w:val="single"/>
          <w:rtl/>
        </w:rPr>
        <w:t>השופטת ט. לוי-מיכאלי</w:t>
      </w:r>
      <w:r w:rsidR="00580FB3" w:rsidRPr="00580FB3">
        <w:rPr>
          <w:rFonts w:ascii="Arial" w:hAnsi="Arial" w:hint="cs"/>
          <w:b/>
          <w:bCs/>
          <w:noProof w:val="0"/>
          <w:rtl/>
        </w:rPr>
        <w:t>:</w:t>
      </w:r>
      <w:r>
        <w:rPr>
          <w:rFonts w:ascii="Arial" w:hAnsi="Arial" w:hint="cs"/>
          <w:noProof w:val="0"/>
          <w:rtl/>
        </w:rPr>
        <w:t xml:space="preserve"> </w:t>
      </w:r>
    </w:p>
    <w:p w:rsidR="00544B16" w:rsidRDefault="00544B16" w:rsidP="00580FB3">
      <w:pPr>
        <w:tabs>
          <w:tab w:val="left" w:pos="7632"/>
        </w:tabs>
        <w:spacing w:line="360" w:lineRule="auto"/>
        <w:jc w:val="both"/>
        <w:rPr>
          <w:rFonts w:ascii="David" w:hAnsi="David"/>
          <w:noProof w:val="0"/>
          <w:color w:val="000000"/>
        </w:rPr>
      </w:pPr>
      <w:r>
        <w:rPr>
          <w:rFonts w:ascii="David" w:hAnsi="David"/>
          <w:color w:val="000000"/>
          <w:rtl/>
        </w:rPr>
        <w:t>ערעור על פסק דינו של בית המשפט השלום בתל אביב (כב' השופט א. אורנשטיין) בגדרי </w:t>
      </w:r>
      <w:r>
        <w:rPr>
          <w:rFonts w:ascii="David" w:hAnsi="David"/>
          <w:rtl/>
        </w:rPr>
        <w:t>ת"א 26439-11-21</w:t>
      </w:r>
      <w:r>
        <w:rPr>
          <w:rFonts w:ascii="David" w:hAnsi="David"/>
          <w:color w:val="000000"/>
          <w:rtl/>
        </w:rPr>
        <w:t xml:space="preserve">, שקיבל את תביעת המשיבות – </w:t>
      </w:r>
      <w:r w:rsidR="002B0372">
        <w:rPr>
          <w:rFonts w:ascii="David" w:hAnsi="David" w:hint="cs"/>
          <w:color w:val="000000"/>
          <w:rtl/>
        </w:rPr>
        <w:t>ה</w:t>
      </w:r>
      <w:r>
        <w:rPr>
          <w:rFonts w:ascii="David" w:hAnsi="David"/>
          <w:color w:val="000000"/>
          <w:rtl/>
        </w:rPr>
        <w:t xml:space="preserve">מתווכות לתשלום עמלת תיווך בסך 340,000 ש"ח (להלן: </w:t>
      </w:r>
      <w:r>
        <w:rPr>
          <w:rFonts w:ascii="David" w:hAnsi="David"/>
          <w:b/>
          <w:bCs/>
          <w:color w:val="000000"/>
          <w:rtl/>
        </w:rPr>
        <w:t>פסק הדין</w:t>
      </w:r>
      <w:r>
        <w:rPr>
          <w:rFonts w:ascii="David" w:hAnsi="David"/>
          <w:color w:val="000000"/>
          <w:rtl/>
        </w:rPr>
        <w:t xml:space="preserve">). </w:t>
      </w:r>
    </w:p>
    <w:p w:rsidR="00544B16" w:rsidRDefault="00544B16" w:rsidP="00580FB3">
      <w:pPr>
        <w:tabs>
          <w:tab w:val="left" w:pos="7632"/>
        </w:tabs>
        <w:spacing w:line="360" w:lineRule="auto"/>
        <w:jc w:val="both"/>
        <w:rPr>
          <w:rFonts w:ascii="David" w:hAnsi="David"/>
          <w:color w:val="000000"/>
          <w:u w:val="single"/>
          <w:rtl/>
        </w:rPr>
      </w:pPr>
    </w:p>
    <w:p w:rsidR="00544B16" w:rsidRPr="00544B16" w:rsidRDefault="00544B16" w:rsidP="00580FB3">
      <w:pPr>
        <w:tabs>
          <w:tab w:val="left" w:pos="7632"/>
        </w:tabs>
        <w:spacing w:line="360" w:lineRule="auto"/>
        <w:jc w:val="both"/>
        <w:rPr>
          <w:rFonts w:ascii="David" w:hAnsi="David"/>
          <w:b/>
          <w:bCs/>
          <w:color w:val="000000"/>
          <w:u w:val="single"/>
          <w:rtl/>
        </w:rPr>
      </w:pPr>
      <w:r w:rsidRPr="00544B16">
        <w:rPr>
          <w:rFonts w:ascii="David" w:hAnsi="David"/>
          <w:b/>
          <w:bCs/>
          <w:color w:val="000000"/>
          <w:u w:val="single"/>
          <w:rtl/>
        </w:rPr>
        <w:t>רקע</w:t>
      </w: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color w:val="000000"/>
          <w:rtl/>
        </w:rPr>
      </w:pPr>
      <w:r>
        <w:rPr>
          <w:rFonts w:ascii="David" w:hAnsi="David" w:cs="David"/>
          <w:color w:val="000000"/>
          <w:rtl/>
        </w:rPr>
        <w:t xml:space="preserve">המערער הוא מי שהיה הבעלים של בית מגורים ברחוב הרב פרידמן 1 תל אביב עד למכירתו ביום 1.9.21 (להלן: </w:t>
      </w:r>
      <w:r>
        <w:rPr>
          <w:rFonts w:ascii="David" w:hAnsi="David" w:cs="David"/>
          <w:b/>
          <w:bCs/>
          <w:color w:val="000000"/>
          <w:rtl/>
        </w:rPr>
        <w:t>הנכס</w:t>
      </w:r>
      <w:r>
        <w:rPr>
          <w:rFonts w:ascii="David" w:hAnsi="David" w:cs="David"/>
          <w:color w:val="000000"/>
          <w:rtl/>
        </w:rPr>
        <w:t xml:space="preserve">). המשיבות, מתווכות מקרקעין במקצוען, איתרו קונה שירכוש את הנכס תמורת סכום של 17 מיליון ש"ח. הצדדים נחלקו בשאלת היות המתווכות הגורם היעיל ובשאלת זכאותן של המתווכות לדמי תיווך בהעדרו של הסכם בכתב.  </w:t>
      </w:r>
    </w:p>
    <w:p w:rsidR="00544B16" w:rsidRPr="00580FB3" w:rsidRDefault="00544B16" w:rsidP="00544B16">
      <w:pPr>
        <w:tabs>
          <w:tab w:val="left" w:pos="7632"/>
        </w:tabs>
        <w:spacing w:line="360" w:lineRule="auto"/>
        <w:jc w:val="both"/>
        <w:rPr>
          <w:rFonts w:ascii="David" w:hAnsi="David"/>
          <w:b/>
          <w:bCs/>
          <w:color w:val="000000"/>
          <w:u w:val="single"/>
          <w:rtl/>
        </w:rPr>
      </w:pPr>
      <w:r w:rsidRPr="00580FB3">
        <w:rPr>
          <w:rFonts w:ascii="David" w:hAnsi="David"/>
          <w:b/>
          <w:bCs/>
          <w:color w:val="000000"/>
          <w:u w:val="single"/>
          <w:rtl/>
        </w:rPr>
        <w:t>ההליך בבית המשפט קמא ופסק הדין</w:t>
      </w: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color w:val="000000"/>
        </w:rPr>
      </w:pPr>
      <w:r>
        <w:rPr>
          <w:rFonts w:ascii="David" w:hAnsi="David" w:cs="David"/>
          <w:rtl/>
          <w:lang w:val="en-US"/>
        </w:rPr>
        <w:t>בית</w:t>
      </w:r>
      <w:r>
        <w:rPr>
          <w:rFonts w:ascii="David" w:hAnsi="David" w:cs="David"/>
          <w:color w:val="000000"/>
          <w:rtl/>
        </w:rPr>
        <w:t xml:space="preserve"> משפט קמא קיבל את תביעת המשיבות לתשלום דמי תיווך. בית משפט קמא קבע כי המתווכות היו הגורם היעיל בזכותן אותר רוכש לנכס וזאת על יסוד מאמצי פרסום של המתווכות ושיתוף פעולה שלהן עם משרד תיווך נוסף (פסקה 13 לפסק הדין). </w:t>
      </w:r>
    </w:p>
    <w:p w:rsidR="00580FB3" w:rsidRDefault="00580FB3" w:rsidP="00580FB3">
      <w:pPr>
        <w:pStyle w:val="ad"/>
        <w:tabs>
          <w:tab w:val="left" w:pos="369"/>
        </w:tabs>
        <w:bidi/>
        <w:spacing w:after="240" w:line="360" w:lineRule="auto"/>
        <w:ind w:left="369"/>
        <w:jc w:val="both"/>
        <w:rPr>
          <w:rFonts w:ascii="David" w:hAnsi="David" w:cs="David"/>
          <w:color w:val="000000"/>
          <w:rtl/>
        </w:rPr>
      </w:pP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color w:val="000000"/>
          <w:rtl/>
        </w:rPr>
      </w:pPr>
      <w:r>
        <w:rPr>
          <w:rFonts w:ascii="David" w:hAnsi="David" w:cs="David"/>
          <w:color w:val="000000"/>
          <w:rtl/>
        </w:rPr>
        <w:t>בית המשפט הוסיף וקבע כי מדובר במקרה קיצוני במיוחד ["</w:t>
      </w:r>
      <w:r>
        <w:rPr>
          <w:rFonts w:ascii="David" w:hAnsi="David" w:cs="David"/>
          <w:b/>
          <w:bCs/>
          <w:color w:val="000000"/>
          <w:rtl/>
        </w:rPr>
        <w:t>שקשה לחשוב עליו</w:t>
      </w:r>
      <w:r>
        <w:rPr>
          <w:rFonts w:ascii="David" w:hAnsi="David" w:cs="David"/>
          <w:color w:val="000000"/>
          <w:rtl/>
        </w:rPr>
        <w:t xml:space="preserve">" – פסקה 23 לפסק הדין] שכן העובדה שלא נחתם הסכם תיווך נעוצה בהתנהלותו </w:t>
      </w:r>
      <w:r>
        <w:rPr>
          <w:rFonts w:ascii="David" w:hAnsi="David" w:cs="David"/>
          <w:b/>
          <w:bCs/>
          <w:color w:val="000000"/>
          <w:rtl/>
        </w:rPr>
        <w:t>הכל כך</w:t>
      </w:r>
      <w:r>
        <w:rPr>
          <w:rFonts w:ascii="David" w:hAnsi="David" w:cs="David"/>
          <w:color w:val="000000"/>
          <w:rtl/>
        </w:rPr>
        <w:t xml:space="preserve"> </w:t>
      </w:r>
      <w:r>
        <w:rPr>
          <w:rFonts w:ascii="David" w:hAnsi="David" w:cs="David"/>
          <w:b/>
          <w:bCs/>
          <w:color w:val="000000"/>
          <w:rtl/>
        </w:rPr>
        <w:t>פסולה והכל כך קיצונית</w:t>
      </w:r>
      <w:r>
        <w:rPr>
          <w:rFonts w:ascii="David" w:hAnsi="David" w:cs="David"/>
          <w:color w:val="000000"/>
          <w:rtl/>
        </w:rPr>
        <w:t xml:space="preserve"> של המערער ש</w:t>
      </w:r>
      <w:r>
        <w:rPr>
          <w:rFonts w:ascii="David" w:hAnsi="David" w:cs="David"/>
          <w:b/>
          <w:bCs/>
          <w:color w:val="000000"/>
          <w:rtl/>
        </w:rPr>
        <w:t>"סובב בכחש</w:t>
      </w:r>
      <w:r>
        <w:rPr>
          <w:rFonts w:ascii="David" w:hAnsi="David" w:cs="David"/>
          <w:color w:val="000000"/>
          <w:rtl/>
        </w:rPr>
        <w:t>" את המתווכות במשך תקופה של שנתיים (פסקה 23 לפסק הדין) באופן העולה כדי "</w:t>
      </w:r>
      <w:r>
        <w:rPr>
          <w:rFonts w:ascii="David" w:hAnsi="David" w:cs="David"/>
          <w:b/>
          <w:bCs/>
          <w:color w:val="000000"/>
          <w:rtl/>
        </w:rPr>
        <w:t>מרמה ממשית</w:t>
      </w:r>
      <w:r>
        <w:rPr>
          <w:rFonts w:ascii="David" w:hAnsi="David" w:cs="David"/>
          <w:color w:val="000000"/>
          <w:rtl/>
        </w:rPr>
        <w:t>".</w:t>
      </w: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color w:val="000000"/>
          <w:rtl/>
        </w:rPr>
      </w:pPr>
      <w:r>
        <w:rPr>
          <w:rFonts w:ascii="David" w:hAnsi="David" w:cs="David"/>
          <w:rtl/>
          <w:lang w:val="en-US"/>
        </w:rPr>
        <w:lastRenderedPageBreak/>
        <w:t>בית</w:t>
      </w:r>
      <w:r>
        <w:rPr>
          <w:rFonts w:ascii="David" w:hAnsi="David" w:cs="David"/>
          <w:color w:val="000000"/>
          <w:rtl/>
        </w:rPr>
        <w:t xml:space="preserve"> משפט קמא לא קיבל את גרסתו של המערער לפיה </w:t>
      </w:r>
      <w:r w:rsidR="002B0372">
        <w:rPr>
          <w:rFonts w:ascii="David" w:hAnsi="David" w:cs="David" w:hint="cs"/>
          <w:color w:val="000000"/>
          <w:rtl/>
        </w:rPr>
        <w:t xml:space="preserve">הוא </w:t>
      </w:r>
      <w:r>
        <w:rPr>
          <w:rFonts w:ascii="David" w:hAnsi="David" w:cs="David"/>
          <w:color w:val="000000"/>
          <w:rtl/>
        </w:rPr>
        <w:t xml:space="preserve">הגיע להסכמות עם המתווכות כי יגבו דמי תיווך מהקונים בלבד (פסקה 4 לפסק הדין). עוד מצא בית משפט קמא שהמערער הודה כי </w:t>
      </w:r>
      <w:r w:rsidR="002B0372">
        <w:rPr>
          <w:rFonts w:ascii="David" w:hAnsi="David" w:cs="David" w:hint="cs"/>
          <w:color w:val="000000"/>
          <w:rtl/>
        </w:rPr>
        <w:t xml:space="preserve">הוא </w:t>
      </w:r>
      <w:r>
        <w:rPr>
          <w:rFonts w:ascii="David" w:hAnsi="David" w:cs="David"/>
          <w:color w:val="000000"/>
          <w:rtl/>
        </w:rPr>
        <w:t>התחייב לשלם למתווכות דמי תיווך בסך 2% כולל מע"מ אם יקבל מהקונה 17 מיליון ש"ח – הוא המחיר שהושג בפועל (פסקה 5 לפסק הדין וראו גם פסקה 8 לפסק הדין). עוד קיבל בית משפט קמא את גרסתן של המתווכות כי המערער הבטיח שיחתום על הסכם תיווך כאשר יימצא קונה וקבע כי המערער הפר התחייבות זו (פסקה 19 לפסק הדין).</w:t>
      </w:r>
    </w:p>
    <w:p w:rsidR="00544B16" w:rsidRPr="004C7BB7" w:rsidRDefault="00544B16" w:rsidP="00544B16">
      <w:pPr>
        <w:tabs>
          <w:tab w:val="left" w:pos="7632"/>
        </w:tabs>
        <w:spacing w:line="360" w:lineRule="auto"/>
        <w:jc w:val="both"/>
        <w:rPr>
          <w:rFonts w:ascii="David" w:hAnsi="David"/>
          <w:b/>
          <w:bCs/>
          <w:color w:val="000000"/>
          <w:u w:val="single"/>
          <w:rtl/>
        </w:rPr>
      </w:pPr>
      <w:r w:rsidRPr="004C7BB7">
        <w:rPr>
          <w:rFonts w:ascii="David" w:hAnsi="David"/>
          <w:b/>
          <w:bCs/>
          <w:color w:val="000000"/>
          <w:u w:val="single"/>
          <w:rtl/>
        </w:rPr>
        <w:t>טענות הצדדים בערעור</w:t>
      </w: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rPr>
      </w:pPr>
      <w:r>
        <w:rPr>
          <w:rFonts w:ascii="David" w:hAnsi="David" w:cs="David"/>
          <w:b/>
          <w:bCs/>
          <w:rtl/>
        </w:rPr>
        <w:t>המערער</w:t>
      </w:r>
      <w:r>
        <w:rPr>
          <w:rFonts w:ascii="David" w:hAnsi="David" w:cs="David"/>
          <w:rtl/>
        </w:rPr>
        <w:t xml:space="preserve"> טען כי פסק דינו של בית משפט קמא שגוי. המערער עמד על כך שמאחר שלא חתם על ההזמנה בכתב הוא אינו חייב בתשלום דמי תיווך כלשהם, זאת בהתאם ל</w:t>
      </w:r>
      <w:r w:rsidRPr="002B0372">
        <w:rPr>
          <w:rFonts w:ascii="David" w:hAnsi="David" w:cs="David"/>
          <w:b/>
          <w:bCs/>
          <w:rtl/>
        </w:rPr>
        <w:t>חוק המתווכים</w:t>
      </w:r>
      <w:r>
        <w:rPr>
          <w:rFonts w:ascii="David" w:hAnsi="David" w:cs="David"/>
          <w:rtl/>
        </w:rPr>
        <w:t xml:space="preserve"> </w:t>
      </w:r>
      <w:r w:rsidRPr="002B0372">
        <w:rPr>
          <w:rFonts w:ascii="David" w:hAnsi="David" w:cs="David"/>
          <w:b/>
          <w:bCs/>
          <w:rtl/>
        </w:rPr>
        <w:t>במקרקעין, תשנ"ו – 1996</w:t>
      </w:r>
      <w:r>
        <w:rPr>
          <w:rFonts w:ascii="David" w:hAnsi="David" w:cs="David"/>
          <w:rtl/>
        </w:rPr>
        <w:t xml:space="preserve"> (להלן: </w:t>
      </w:r>
      <w:r>
        <w:rPr>
          <w:rFonts w:ascii="David" w:hAnsi="David" w:cs="David"/>
          <w:b/>
          <w:bCs/>
          <w:rtl/>
        </w:rPr>
        <w:t>חוק המתווכים</w:t>
      </w:r>
      <w:r>
        <w:rPr>
          <w:rFonts w:ascii="David" w:hAnsi="David" w:cs="David"/>
          <w:rtl/>
        </w:rPr>
        <w:t xml:space="preserve">). המערער טען כי נסיבות העניין אינן עולות כדי "מרמה ממשית" ומשכך אינן נכנסות לגדר החריגים לדרישת הכתב הקוגנטית בעסקאות תיווך </w:t>
      </w:r>
      <w:r>
        <w:rPr>
          <w:rFonts w:ascii="David" w:hAnsi="David" w:cs="David"/>
          <w:rtl/>
          <w:lang w:val="en-US"/>
        </w:rPr>
        <w:t>[</w:t>
      </w:r>
      <w:r>
        <w:rPr>
          <w:rFonts w:ascii="David" w:hAnsi="David" w:cs="David"/>
          <w:rtl/>
        </w:rPr>
        <w:t xml:space="preserve">ע"א 3384/16 </w:t>
      </w:r>
      <w:r>
        <w:rPr>
          <w:rFonts w:ascii="David" w:hAnsi="David" w:cs="David"/>
          <w:b/>
          <w:bCs/>
          <w:rtl/>
        </w:rPr>
        <w:t>מזרחי נ' מרקוביץ</w:t>
      </w:r>
      <w:r>
        <w:rPr>
          <w:rFonts w:ascii="David" w:hAnsi="David" w:cs="David"/>
          <w:rtl/>
        </w:rPr>
        <w:t xml:space="preserve"> (5.7.18) (להלן: </w:t>
      </w:r>
      <w:r>
        <w:rPr>
          <w:rFonts w:ascii="David" w:hAnsi="David" w:cs="David"/>
          <w:b/>
          <w:bCs/>
          <w:rtl/>
        </w:rPr>
        <w:t>עניין מזרחי</w:t>
      </w:r>
      <w:r>
        <w:rPr>
          <w:rFonts w:ascii="David" w:hAnsi="David" w:cs="David"/>
          <w:rtl/>
        </w:rPr>
        <w:t xml:space="preserve">)]. </w:t>
      </w:r>
      <w:r>
        <w:rPr>
          <w:rFonts w:ascii="David" w:hAnsi="David" w:cs="David"/>
          <w:rtl/>
          <w:lang w:val="en-US"/>
        </w:rPr>
        <w:t xml:space="preserve">מרמה ממשית, לשיטת המערער, רלוונטית אך במצבים בהם הוצג מצג של קיומו של הסכם בכתב. עוד טען המערער כי המשיבות הקפידו להחתים את הקונים שהתעניינו בנכס על הסכם, דבר שלשיטתו תומך בטענתו כי סוכם שדמי התיווך יגבו רק מהקונים. </w:t>
      </w:r>
      <w:r>
        <w:rPr>
          <w:rFonts w:ascii="David" w:hAnsi="David" w:cs="David"/>
          <w:rtl/>
        </w:rPr>
        <w:t>עוד טען המערער כי</w:t>
      </w:r>
      <w:r w:rsidR="002B0372">
        <w:rPr>
          <w:rFonts w:ascii="David" w:hAnsi="David" w:cs="David" w:hint="cs"/>
          <w:rtl/>
        </w:rPr>
        <w:t xml:space="preserve"> הוא</w:t>
      </w:r>
      <w:r>
        <w:rPr>
          <w:rFonts w:ascii="David" w:hAnsi="David" w:cs="David"/>
          <w:rtl/>
        </w:rPr>
        <w:t xml:space="preserve"> כלל לא התחייב לשלם דמי תיווך בסכום בו נמכר הנכס וכי היעדר מסמך בכתב בהקשר זה צריך לעמוד לחובת המשיבות.</w:t>
      </w:r>
      <w:r>
        <w:rPr>
          <w:rFonts w:ascii="David" w:hAnsi="David" w:cs="David"/>
          <w:rtl/>
          <w:lang w:val="en-US"/>
        </w:rPr>
        <w:t xml:space="preserve"> המערער חזר על טענותיו כי המשיבות לא היו הגורם היעיל להתקשרות וטען כי התנהלות המשיבות כלפיו עלתה כדי מרמה.</w:t>
      </w:r>
    </w:p>
    <w:p w:rsidR="004C7BB7" w:rsidRDefault="004C7BB7" w:rsidP="004C7BB7">
      <w:pPr>
        <w:pStyle w:val="ad"/>
        <w:tabs>
          <w:tab w:val="left" w:pos="369"/>
        </w:tabs>
        <w:bidi/>
        <w:spacing w:after="240" w:line="360" w:lineRule="auto"/>
        <w:ind w:left="369"/>
        <w:jc w:val="both"/>
        <w:rPr>
          <w:rFonts w:ascii="David" w:hAnsi="David" w:cs="David"/>
          <w:rtl/>
        </w:rPr>
      </w:pP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rtl/>
          <w:lang w:val="en-US"/>
        </w:rPr>
      </w:pPr>
      <w:r>
        <w:rPr>
          <w:rFonts w:ascii="David" w:hAnsi="David" w:cs="David"/>
          <w:b/>
          <w:bCs/>
          <w:rtl/>
        </w:rPr>
        <w:t>המשיבות</w:t>
      </w:r>
      <w:r>
        <w:rPr>
          <w:rFonts w:ascii="David" w:hAnsi="David" w:cs="David"/>
          <w:rtl/>
          <w:lang w:val="en-US"/>
        </w:rPr>
        <w:t xml:space="preserve"> טענו כי מדובר במקרה הנדיר, החריג והקיצוני אשר מחייב ויתור על דרישת הכתב בשל זעקת ההגינות והפנו בהקשר זה לעניין</w:t>
      </w:r>
      <w:r>
        <w:rPr>
          <w:rFonts w:ascii="David" w:hAnsi="David" w:cs="David"/>
          <w:b/>
          <w:bCs/>
          <w:rtl/>
          <w:lang w:val="en-US"/>
        </w:rPr>
        <w:t xml:space="preserve"> מזרחי</w:t>
      </w:r>
      <w:r>
        <w:rPr>
          <w:rFonts w:ascii="David" w:hAnsi="David" w:cs="David"/>
          <w:rtl/>
          <w:lang w:val="en-US"/>
        </w:rPr>
        <w:t xml:space="preserve">. המשיבות מדגישות כי המערער הודה בחקירתו כי סירב לחתום על טיוטת ההסכם שנשלח אליו והתחייב לנסח הסכם אחר ולחתום עליו במועד חתימת הסכם המכר, אלא שהמערער הסתיר את מועד חתימת הסכם המכר מן המשיבות וסילק את המשיבה 2 כשהגיעה להחתימו במועד זה. המשיבות טענו כי העדרו של הסכם תיווך בכתב לא נבע ממחדל שלהן, אלא ממצגי שווא של המערער והתנהלותו התרמיתית. בנוסף עמדו על כך שהמערער בחקירתו הודה שהתחייב לשלם להן עמלת תיווך של 2% מסכום עסקת המכר. </w:t>
      </w:r>
    </w:p>
    <w:p w:rsidR="00544B16" w:rsidRPr="004C7BB7" w:rsidRDefault="002B0372" w:rsidP="00544B16">
      <w:pPr>
        <w:tabs>
          <w:tab w:val="left" w:pos="7632"/>
        </w:tabs>
        <w:spacing w:line="360" w:lineRule="auto"/>
        <w:jc w:val="both"/>
        <w:rPr>
          <w:rFonts w:ascii="David" w:hAnsi="David"/>
          <w:b/>
          <w:bCs/>
          <w:color w:val="000000"/>
          <w:u w:val="single"/>
          <w:rtl/>
        </w:rPr>
      </w:pPr>
      <w:r>
        <w:rPr>
          <w:rFonts w:ascii="David" w:hAnsi="David" w:hint="cs"/>
          <w:b/>
          <w:bCs/>
          <w:color w:val="000000"/>
          <w:u w:val="single"/>
          <w:rtl/>
        </w:rPr>
        <w:t>דיון והכרעה</w:t>
      </w: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rPr>
      </w:pPr>
      <w:r w:rsidRPr="004C7BB7">
        <w:rPr>
          <w:rFonts w:ascii="David" w:hAnsi="David" w:cs="David"/>
          <w:rtl/>
        </w:rPr>
        <w:t xml:space="preserve">לדידי דין הערעור להידחות. </w:t>
      </w:r>
    </w:p>
    <w:p w:rsidR="004C7BB7" w:rsidRPr="004C7BB7" w:rsidRDefault="004C7BB7" w:rsidP="004C7BB7">
      <w:pPr>
        <w:pStyle w:val="ad"/>
        <w:tabs>
          <w:tab w:val="left" w:pos="369"/>
        </w:tabs>
        <w:bidi/>
        <w:spacing w:after="240" w:line="360" w:lineRule="auto"/>
        <w:ind w:left="369"/>
        <w:jc w:val="both"/>
        <w:rPr>
          <w:rFonts w:ascii="David" w:hAnsi="David" w:cs="David"/>
          <w:rtl/>
        </w:rPr>
      </w:pPr>
    </w:p>
    <w:p w:rsidR="00544B16" w:rsidRDefault="00544B16" w:rsidP="00580FB3">
      <w:pPr>
        <w:pStyle w:val="ad"/>
        <w:numPr>
          <w:ilvl w:val="0"/>
          <w:numId w:val="1"/>
        </w:numPr>
        <w:tabs>
          <w:tab w:val="left" w:pos="369"/>
        </w:tabs>
        <w:bidi/>
        <w:spacing w:after="240" w:line="360" w:lineRule="auto"/>
        <w:ind w:left="369" w:hanging="426"/>
        <w:jc w:val="both"/>
        <w:rPr>
          <w:rFonts w:ascii="David" w:hAnsi="David" w:cs="David"/>
          <w:color w:val="000000"/>
        </w:rPr>
      </w:pPr>
      <w:r w:rsidRPr="004C7BB7">
        <w:rPr>
          <w:rFonts w:ascii="David" w:hAnsi="David" w:cs="David"/>
          <w:rtl/>
        </w:rPr>
        <w:t>בית משפט קמא עמד היטב על המסגרת הנורמטיבית הרלוונטית ולפיה</w:t>
      </w:r>
      <w:r>
        <w:rPr>
          <w:rFonts w:ascii="David" w:hAnsi="David" w:cs="David"/>
          <w:color w:val="000000"/>
          <w:rtl/>
        </w:rPr>
        <w:t xml:space="preserve"> לצורך חיוב בדמי תיווך יש לערוך הסכם תיווך בכתב [סעיפים 9 ו-14(א) ל</w:t>
      </w:r>
      <w:r w:rsidRPr="004C7BB7">
        <w:rPr>
          <w:rFonts w:ascii="David" w:hAnsi="David" w:cs="David"/>
          <w:b/>
          <w:bCs/>
          <w:color w:val="000000"/>
          <w:rtl/>
        </w:rPr>
        <w:t xml:space="preserve">חוק המתווכים </w:t>
      </w:r>
      <w:r>
        <w:rPr>
          <w:rFonts w:ascii="David" w:hAnsi="David" w:cs="David"/>
          <w:color w:val="000000"/>
          <w:rtl/>
        </w:rPr>
        <w:t xml:space="preserve">וכן </w:t>
      </w:r>
      <w:r w:rsidRPr="004C7BB7">
        <w:rPr>
          <w:rFonts w:ascii="David" w:hAnsi="David" w:cs="David"/>
          <w:b/>
          <w:bCs/>
          <w:color w:val="000000"/>
          <w:rtl/>
        </w:rPr>
        <w:t xml:space="preserve">תקנות המתווכים </w:t>
      </w:r>
      <w:r w:rsidRPr="004C7BB7">
        <w:rPr>
          <w:rFonts w:ascii="David" w:hAnsi="David" w:cs="David"/>
          <w:b/>
          <w:bCs/>
          <w:color w:val="000000"/>
          <w:rtl/>
        </w:rPr>
        <w:lastRenderedPageBreak/>
        <w:t>במקרקעין (פרטי הזמנה בכתב), תשנ"ז-1997</w:t>
      </w:r>
      <w:r>
        <w:rPr>
          <w:rFonts w:ascii="David" w:hAnsi="David" w:cs="David"/>
          <w:color w:val="000000"/>
          <w:rtl/>
        </w:rPr>
        <w:t xml:space="preserve">]. החשיבות של דרישת הכתב בהקשר זה נוגעת להגנה על זכויות הלקוחות אל מול כוחו העודף של המתווך בהיותו שחקן חוזר. בית משפט קמא הפנה להלכה המחייבת ולפיה דרישת הכתב היא כה משמעותית עד שקשה לחשוב על מקרים בהם ניתן יהיה לוותר על דרישת הכתב: </w:t>
      </w:r>
    </w:p>
    <w:p w:rsidR="000D5854" w:rsidRDefault="000D5854" w:rsidP="00544B16">
      <w:pPr>
        <w:pStyle w:val="ad"/>
        <w:bidi/>
        <w:spacing w:after="240" w:line="360" w:lineRule="auto"/>
        <w:ind w:left="680" w:right="567"/>
        <w:jc w:val="both"/>
        <w:rPr>
          <w:rFonts w:ascii="David" w:hAnsi="David" w:cs="David"/>
          <w:b/>
          <w:bCs/>
          <w:color w:val="000000"/>
          <w:rtl/>
        </w:rPr>
      </w:pPr>
    </w:p>
    <w:p w:rsidR="00544B16" w:rsidRDefault="00544B16" w:rsidP="00544B16">
      <w:pPr>
        <w:pStyle w:val="ad"/>
        <w:bidi/>
        <w:spacing w:after="240" w:line="360" w:lineRule="auto"/>
        <w:ind w:left="680" w:right="567"/>
        <w:jc w:val="both"/>
        <w:rPr>
          <w:rFonts w:ascii="David" w:hAnsi="David" w:cs="David"/>
          <w:b/>
          <w:bCs/>
          <w:color w:val="000000"/>
        </w:rPr>
      </w:pPr>
      <w:r>
        <w:rPr>
          <w:rFonts w:ascii="David" w:hAnsi="David" w:cs="David"/>
          <w:b/>
          <w:bCs/>
          <w:color w:val="000000"/>
          <w:rtl/>
        </w:rPr>
        <w:t>"המסקנה המתקבלת מכל האמור לעיל היא ש</w:t>
      </w:r>
      <w:r>
        <w:rPr>
          <w:rFonts w:ascii="David" w:hAnsi="David" w:cs="David"/>
          <w:b/>
          <w:bCs/>
          <w:color w:val="000000"/>
          <w:u w:val="single"/>
          <w:rtl/>
        </w:rPr>
        <w:t>קשה לחשוב על מצב שבו ניתן יהיה לוותר כליל על הדרישה הבסיסית לקיומו של חוזה תיווך בכתב על מנת להטיל חיוב בדמי תיווך</w:t>
      </w:r>
      <w:r>
        <w:rPr>
          <w:rFonts w:ascii="David" w:hAnsi="David" w:cs="David"/>
          <w:b/>
          <w:bCs/>
          <w:color w:val="000000"/>
          <w:rtl/>
        </w:rPr>
        <w:t xml:space="preserve">. מכל מקום, במסגרת הדיון שבפנינו אינני נדרשת לקבוע מסמרות בכך. </w:t>
      </w:r>
      <w:r>
        <w:rPr>
          <w:rFonts w:ascii="David" w:hAnsi="David" w:cs="David"/>
          <w:b/>
          <w:bCs/>
          <w:color w:val="000000"/>
          <w:u w:val="single"/>
          <w:rtl/>
        </w:rPr>
        <w:t>בעיקרו של דבר, וכפי שיפורט בהמשך הדברים, אפילו קיימים מקרים חריגים וקיצוניים שיצדיקו התגברות על הדרישה הבסיסית לקיומו של חוזה תיווך בכתב</w:t>
      </w:r>
      <w:r>
        <w:rPr>
          <w:rFonts w:ascii="David" w:hAnsi="David" w:cs="David"/>
          <w:b/>
          <w:bCs/>
          <w:color w:val="000000"/>
          <w:rtl/>
        </w:rPr>
        <w:t>, איני סבורה כי המקרה דנן מצדיק קביעת גבולות ברורים באשר לאותם מקרים</w:t>
      </w:r>
      <w:r>
        <w:rPr>
          <w:rFonts w:ascii="David" w:hAnsi="David" w:cs="David"/>
          <w:b/>
          <w:bCs/>
          <w:color w:val="000000"/>
          <w:lang w:val="en-US"/>
        </w:rPr>
        <w:t>.</w:t>
      </w:r>
      <w:r>
        <w:rPr>
          <w:rFonts w:ascii="David" w:hAnsi="David" w:cs="David"/>
          <w:b/>
          <w:bCs/>
          <w:color w:val="000000"/>
          <w:rtl/>
          <w:lang w:val="en-US"/>
        </w:rPr>
        <w:t>"</w:t>
      </w:r>
    </w:p>
    <w:p w:rsidR="00544B16" w:rsidRDefault="00544B16" w:rsidP="00544B16">
      <w:pPr>
        <w:pStyle w:val="ad"/>
        <w:bidi/>
        <w:spacing w:after="240" w:line="360" w:lineRule="auto"/>
        <w:ind w:hanging="40"/>
        <w:jc w:val="both"/>
        <w:rPr>
          <w:rFonts w:ascii="David" w:hAnsi="David" w:cs="David"/>
          <w:color w:val="000000"/>
        </w:rPr>
      </w:pPr>
      <w:r>
        <w:rPr>
          <w:rFonts w:ascii="David" w:hAnsi="David" w:cs="David"/>
          <w:color w:val="000000"/>
          <w:rtl/>
        </w:rPr>
        <w:t xml:space="preserve">[עניין </w:t>
      </w:r>
      <w:r>
        <w:rPr>
          <w:rFonts w:ascii="David" w:hAnsi="David" w:cs="David"/>
          <w:b/>
          <w:bCs/>
          <w:color w:val="000000"/>
          <w:rtl/>
        </w:rPr>
        <w:t>מזרחי נ' מרקוביץ</w:t>
      </w:r>
      <w:r>
        <w:rPr>
          <w:rFonts w:ascii="David" w:hAnsi="David" w:cs="David"/>
          <w:color w:val="000000"/>
          <w:rtl/>
        </w:rPr>
        <w:t xml:space="preserve">, פס' 50 לפסק דינה של כב' השופטת ברק-ארז]. </w:t>
      </w:r>
    </w:p>
    <w:p w:rsidR="004C7BB7" w:rsidRDefault="004C7BB7" w:rsidP="004C7BB7">
      <w:pPr>
        <w:pStyle w:val="ad"/>
        <w:bidi/>
        <w:spacing w:after="240" w:line="360" w:lineRule="auto"/>
        <w:ind w:left="369"/>
        <w:jc w:val="both"/>
        <w:rPr>
          <w:rFonts w:ascii="David" w:hAnsi="David" w:cs="David"/>
          <w:color w:val="000000"/>
          <w:rtl/>
        </w:rPr>
      </w:pPr>
    </w:p>
    <w:p w:rsidR="00544B16" w:rsidRDefault="00544B16" w:rsidP="004C7BB7">
      <w:pPr>
        <w:pStyle w:val="ad"/>
        <w:bidi/>
        <w:spacing w:after="240" w:line="360" w:lineRule="auto"/>
        <w:ind w:left="369"/>
        <w:jc w:val="both"/>
        <w:rPr>
          <w:rFonts w:ascii="David" w:hAnsi="David" w:cs="David"/>
          <w:color w:val="000000"/>
          <w:rtl/>
        </w:rPr>
      </w:pPr>
      <w:r>
        <w:rPr>
          <w:rFonts w:ascii="David" w:hAnsi="David" w:cs="David"/>
          <w:color w:val="000000"/>
          <w:rtl/>
        </w:rPr>
        <w:t xml:space="preserve">בית המשפט קמא הפנה אף לחוות דעתו של כב' השופט אלרון בעניין </w:t>
      </w:r>
      <w:r w:rsidRPr="004C7BB7">
        <w:rPr>
          <w:rFonts w:ascii="David" w:hAnsi="David" w:cs="David"/>
          <w:color w:val="000000"/>
          <w:rtl/>
        </w:rPr>
        <w:t>מזרחי</w:t>
      </w:r>
      <w:r>
        <w:rPr>
          <w:rFonts w:ascii="David" w:hAnsi="David" w:cs="David"/>
          <w:color w:val="000000"/>
          <w:rtl/>
        </w:rPr>
        <w:t xml:space="preserve"> הנ"ל כי ככלל עסקה למתן שירותי תיווך במקרקעין תיערך בכתב, כאשר החריג המצומצם לכלל זה יהיה בנסיבות החריגות של </w:t>
      </w:r>
      <w:r>
        <w:rPr>
          <w:rFonts w:ascii="David" w:hAnsi="David" w:cs="David"/>
          <w:color w:val="000000"/>
        </w:rPr>
        <w:t>"</w:t>
      </w:r>
      <w:r w:rsidRPr="004C7BB7">
        <w:rPr>
          <w:rFonts w:ascii="David" w:hAnsi="David" w:cs="David"/>
          <w:b/>
          <w:bCs/>
          <w:color w:val="000000"/>
          <w:rtl/>
        </w:rPr>
        <w:t>מרמה ממשית</w:t>
      </w:r>
      <w:r>
        <w:rPr>
          <w:rFonts w:ascii="David" w:hAnsi="David" w:cs="David"/>
          <w:color w:val="000000"/>
          <w:rtl/>
        </w:rPr>
        <w:t xml:space="preserve">" </w:t>
      </w:r>
      <w:r>
        <w:rPr>
          <w:rFonts w:ascii="David" w:hAnsi="David" w:cs="David"/>
          <w:color w:val="000000"/>
        </w:rPr>
        <w:t>("actual fraud")</w:t>
      </w:r>
      <w:r>
        <w:rPr>
          <w:rFonts w:ascii="David" w:hAnsi="David" w:cs="David"/>
          <w:color w:val="000000"/>
          <w:rtl/>
        </w:rPr>
        <w:t xml:space="preserve"> וזאת בהתאם לסקירה משווה ולהלכה במדינת קליפורניה (פסקה 4 לחוות הדעת של כב' השופט אלרון בעניין </w:t>
      </w:r>
      <w:r>
        <w:rPr>
          <w:rFonts w:ascii="David" w:hAnsi="David" w:cs="David"/>
          <w:b/>
          <w:bCs/>
          <w:color w:val="000000"/>
          <w:rtl/>
        </w:rPr>
        <w:t>מזרחי</w:t>
      </w:r>
      <w:r>
        <w:rPr>
          <w:rFonts w:ascii="David" w:hAnsi="David" w:cs="David"/>
          <w:color w:val="000000"/>
          <w:rtl/>
        </w:rPr>
        <w:t xml:space="preserve">). </w:t>
      </w:r>
    </w:p>
    <w:p w:rsidR="004C7BB7" w:rsidRDefault="004C7BB7" w:rsidP="004C7BB7">
      <w:pPr>
        <w:pStyle w:val="ad"/>
        <w:bidi/>
        <w:spacing w:after="240" w:line="360" w:lineRule="auto"/>
        <w:ind w:left="369"/>
        <w:jc w:val="both"/>
        <w:rPr>
          <w:rFonts w:ascii="David" w:hAnsi="David" w:cs="David"/>
          <w:color w:val="000000"/>
          <w:rtl/>
        </w:rPr>
      </w:pPr>
    </w:p>
    <w:p w:rsidR="00544B16" w:rsidRDefault="00544B16" w:rsidP="004C7BB7">
      <w:pPr>
        <w:pStyle w:val="ad"/>
        <w:numPr>
          <w:ilvl w:val="0"/>
          <w:numId w:val="1"/>
        </w:numPr>
        <w:tabs>
          <w:tab w:val="left" w:pos="369"/>
        </w:tabs>
        <w:bidi/>
        <w:spacing w:after="240" w:line="360" w:lineRule="auto"/>
        <w:ind w:left="369" w:hanging="426"/>
        <w:jc w:val="both"/>
        <w:rPr>
          <w:rFonts w:ascii="David" w:hAnsi="David" w:cs="David"/>
        </w:rPr>
      </w:pPr>
      <w:r w:rsidRPr="004C7BB7">
        <w:rPr>
          <w:rFonts w:ascii="David" w:hAnsi="David" w:cs="David"/>
          <w:rtl/>
        </w:rPr>
        <w:t xml:space="preserve">על יסוד המסגרת הנורמטיבית הזו ותוך בחינת פסיקה של הערכאות הדיוניות בית משפט קמא ניתח את עובדות המקרה ומצא שמדובר במקרה קיצוני שנכנס לגדרו של החריג הצר עד מאוד שנקבע בעניין מזרחי ובו מוצדק לחייב את המערער בתשלום דמי תיווך אף מבלי שהתקיימה דרישת הכתב.  </w:t>
      </w:r>
    </w:p>
    <w:p w:rsidR="004C7BB7" w:rsidRPr="004C7BB7" w:rsidRDefault="004C7BB7" w:rsidP="004C7BB7">
      <w:pPr>
        <w:pStyle w:val="ad"/>
        <w:tabs>
          <w:tab w:val="left" w:pos="369"/>
        </w:tabs>
        <w:bidi/>
        <w:spacing w:after="240" w:line="360" w:lineRule="auto"/>
        <w:ind w:left="369"/>
        <w:jc w:val="both"/>
        <w:rPr>
          <w:rFonts w:ascii="David" w:hAnsi="David" w:cs="David"/>
          <w:rtl/>
        </w:rPr>
      </w:pPr>
    </w:p>
    <w:p w:rsidR="00544B16" w:rsidRDefault="00544B16" w:rsidP="004C7BB7">
      <w:pPr>
        <w:pStyle w:val="ad"/>
        <w:numPr>
          <w:ilvl w:val="0"/>
          <w:numId w:val="1"/>
        </w:numPr>
        <w:tabs>
          <w:tab w:val="left" w:pos="369"/>
        </w:tabs>
        <w:bidi/>
        <w:spacing w:after="240" w:line="360" w:lineRule="auto"/>
        <w:ind w:left="369" w:hanging="426"/>
        <w:jc w:val="both"/>
        <w:rPr>
          <w:rFonts w:ascii="David" w:hAnsi="David" w:cs="David"/>
        </w:rPr>
      </w:pPr>
      <w:r w:rsidRPr="004C7BB7">
        <w:rPr>
          <w:rFonts w:ascii="David" w:hAnsi="David" w:cs="David"/>
          <w:rtl/>
        </w:rPr>
        <w:t>בהקשר זה קבע בית משפט קמא כאמור כי התנהלותו של המערער הייתה "</w:t>
      </w:r>
      <w:r w:rsidRPr="004C7BB7">
        <w:rPr>
          <w:rFonts w:ascii="David" w:hAnsi="David" w:cs="David"/>
          <w:b/>
          <w:bCs/>
          <w:rtl/>
        </w:rPr>
        <w:t>כל כך פסולה וכל כך קיצונית</w:t>
      </w:r>
      <w:r w:rsidRPr="004C7BB7">
        <w:rPr>
          <w:rFonts w:ascii="David" w:hAnsi="David" w:cs="David"/>
          <w:rtl/>
        </w:rPr>
        <w:t>" וכי הוא "</w:t>
      </w:r>
      <w:r w:rsidRPr="004C7BB7">
        <w:rPr>
          <w:rFonts w:ascii="David" w:hAnsi="David" w:cs="David"/>
          <w:b/>
          <w:bCs/>
          <w:rtl/>
        </w:rPr>
        <w:t>סובב בכחש</w:t>
      </w:r>
      <w:r w:rsidRPr="004C7BB7">
        <w:rPr>
          <w:rFonts w:ascii="David" w:hAnsi="David" w:cs="David"/>
          <w:rtl/>
        </w:rPr>
        <w:t xml:space="preserve">" את המתווכות במשך תקופה של שנתיים. </w:t>
      </w:r>
    </w:p>
    <w:p w:rsidR="004C7BB7" w:rsidRPr="004C7BB7" w:rsidRDefault="004C7BB7" w:rsidP="004C7BB7">
      <w:pPr>
        <w:pStyle w:val="ad"/>
        <w:tabs>
          <w:tab w:val="left" w:pos="369"/>
        </w:tabs>
        <w:bidi/>
        <w:spacing w:after="240" w:line="360" w:lineRule="auto"/>
        <w:ind w:left="369"/>
        <w:jc w:val="both"/>
        <w:rPr>
          <w:rFonts w:ascii="David" w:hAnsi="David" w:cs="David"/>
        </w:rPr>
      </w:pPr>
    </w:p>
    <w:p w:rsidR="00544B16" w:rsidRDefault="00544B16" w:rsidP="00CC2018">
      <w:pPr>
        <w:pStyle w:val="ad"/>
        <w:tabs>
          <w:tab w:val="left" w:pos="369"/>
        </w:tabs>
        <w:bidi/>
        <w:spacing w:after="240" w:line="360" w:lineRule="auto"/>
        <w:ind w:left="369"/>
        <w:jc w:val="both"/>
        <w:rPr>
          <w:rFonts w:ascii="David" w:hAnsi="David" w:cs="David"/>
          <w:color w:val="000000"/>
        </w:rPr>
      </w:pPr>
      <w:r w:rsidRPr="004C7BB7">
        <w:rPr>
          <w:rFonts w:ascii="David" w:hAnsi="David" w:cs="David"/>
          <w:rtl/>
        </w:rPr>
        <w:t>בית המשפט</w:t>
      </w:r>
      <w:r>
        <w:rPr>
          <w:rFonts w:ascii="David" w:hAnsi="David" w:cs="David"/>
          <w:color w:val="000000"/>
          <w:rtl/>
        </w:rPr>
        <w:t xml:space="preserve"> קמא קבע כי המערער "</w:t>
      </w:r>
      <w:r>
        <w:rPr>
          <w:rFonts w:ascii="David" w:hAnsi="David" w:cs="David"/>
          <w:b/>
          <w:bCs/>
          <w:color w:val="000000"/>
          <w:rtl/>
        </w:rPr>
        <w:t>הבטיח"</w:t>
      </w:r>
      <w:r>
        <w:rPr>
          <w:rFonts w:ascii="David" w:hAnsi="David" w:cs="David"/>
          <w:color w:val="000000"/>
          <w:rtl/>
        </w:rPr>
        <w:t xml:space="preserve"> </w:t>
      </w:r>
      <w:r>
        <w:rPr>
          <w:rFonts w:ascii="David" w:hAnsi="David" w:cs="David"/>
          <w:rtl/>
        </w:rPr>
        <w:t>ל</w:t>
      </w:r>
      <w:r>
        <w:rPr>
          <w:rFonts w:ascii="David" w:hAnsi="David" w:cs="David"/>
          <w:color w:val="000000"/>
          <w:rtl/>
        </w:rPr>
        <w:t>מתווכות לפיו שיחתום עימן על הסכם תיווך לאחר שימצא קונה והפר התחייבויותו זו (פסקה 2 לפסק הדין וההפניות שם: פרוטוקול בית משפט קמא</w:t>
      </w:r>
      <w:r w:rsidR="002B0372">
        <w:rPr>
          <w:rFonts w:ascii="David" w:hAnsi="David" w:cs="David" w:hint="cs"/>
          <w:color w:val="000000"/>
          <w:rtl/>
        </w:rPr>
        <w:t>,</w:t>
      </w:r>
      <w:r>
        <w:rPr>
          <w:rFonts w:ascii="David" w:hAnsi="David" w:cs="David"/>
          <w:color w:val="000000"/>
          <w:rtl/>
        </w:rPr>
        <w:t xml:space="preserve"> עמ' 55 ש' 8-6). בית משפט קמא קבע כי זמן קצר לפני שנחתם הסכם המכר, המשיבה 1 ביקשה מהמערער </w:t>
      </w:r>
      <w:r>
        <w:rPr>
          <w:rFonts w:ascii="David" w:hAnsi="David" w:cs="David"/>
          <w:b/>
          <w:bCs/>
          <w:color w:val="000000"/>
          <w:rtl/>
        </w:rPr>
        <w:t>"תודיע לי כשיש יום חתימה, שנוכל לבוא"</w:t>
      </w:r>
      <w:r>
        <w:rPr>
          <w:rFonts w:ascii="David" w:hAnsi="David" w:cs="David"/>
          <w:color w:val="000000"/>
          <w:rtl/>
        </w:rPr>
        <w:t xml:space="preserve"> ותשובת המערער: "</w:t>
      </w:r>
      <w:r>
        <w:rPr>
          <w:rFonts w:ascii="David" w:hAnsi="David" w:cs="David"/>
          <w:b/>
          <w:bCs/>
          <w:color w:val="000000"/>
          <w:rtl/>
        </w:rPr>
        <w:t xml:space="preserve">ברור. </w:t>
      </w:r>
      <w:r>
        <w:rPr>
          <w:rFonts w:ascii="David" w:hAnsi="David" w:cs="David"/>
          <w:b/>
          <w:bCs/>
          <w:color w:val="000000"/>
          <w:u w:val="single"/>
          <w:rtl/>
        </w:rPr>
        <w:t>אני הבטחתי לחתום</w:t>
      </w:r>
      <w:r>
        <w:rPr>
          <w:rFonts w:ascii="David" w:hAnsi="David" w:cs="David"/>
          <w:color w:val="000000"/>
          <w:rtl/>
        </w:rPr>
        <w:t>" (פסקה 3 לפסק הדין ותמלול שיחה מיום 8.8.21 עמ' 59 ש' 19-18 שצורף כנספח 2ו' לערעור). המערער הודיע למתווכות כי נוסח הסכם התיווך לא מקובל עליו ולקח על עצמו לנסח ההסכם מחדש, אלא שכפי שקבע בית משפט קמא היה זה רק "</w:t>
      </w:r>
      <w:r>
        <w:rPr>
          <w:rFonts w:ascii="David" w:hAnsi="David" w:cs="David"/>
          <w:b/>
          <w:bCs/>
          <w:color w:val="000000"/>
          <w:rtl/>
        </w:rPr>
        <w:t xml:space="preserve">תרגיל </w:t>
      </w:r>
      <w:r>
        <w:rPr>
          <w:rFonts w:ascii="David" w:hAnsi="David" w:cs="David"/>
          <w:b/>
          <w:bCs/>
          <w:color w:val="000000"/>
          <w:rtl/>
        </w:rPr>
        <w:lastRenderedPageBreak/>
        <w:t>נוסף במסכת התחכמויותיו והתחמקויותיו</w:t>
      </w:r>
      <w:r>
        <w:rPr>
          <w:rFonts w:ascii="David" w:hAnsi="David" w:cs="David"/>
          <w:color w:val="000000"/>
          <w:rtl/>
        </w:rPr>
        <w:t>" של המערער (פסקה 18 לפסק הדין). המערער ניסה ליצור אמון אצל המתווכות וחזר והעיד על עצמו</w:t>
      </w:r>
      <w:r>
        <w:rPr>
          <w:rFonts w:ascii="Arial" w:hAnsi="Arial"/>
          <w:rtl/>
        </w:rPr>
        <w:t xml:space="preserve"> </w:t>
      </w:r>
      <w:r>
        <w:rPr>
          <w:rFonts w:ascii="David" w:hAnsi="David" w:cs="David"/>
          <w:color w:val="000000"/>
          <w:rtl/>
        </w:rPr>
        <w:t>"</w:t>
      </w:r>
      <w:r>
        <w:rPr>
          <w:rFonts w:ascii="David" w:hAnsi="David" w:cs="David"/>
          <w:b/>
          <w:bCs/>
          <w:color w:val="000000"/>
          <w:rtl/>
        </w:rPr>
        <w:t>אני בן אדם ישר, אני בן אדם הגון</w:t>
      </w:r>
      <w:r>
        <w:rPr>
          <w:rFonts w:ascii="David" w:hAnsi="David" w:cs="David"/>
          <w:color w:val="000000"/>
          <w:rtl/>
        </w:rPr>
        <w:t>" (פסקה 2 לפסק הדין וההפניות שם: פרוטוקול בית משפט קמא</w:t>
      </w:r>
      <w:r w:rsidR="002B0372">
        <w:rPr>
          <w:rFonts w:ascii="David" w:hAnsi="David" w:cs="David" w:hint="cs"/>
          <w:color w:val="000000"/>
          <w:rtl/>
        </w:rPr>
        <w:t>,</w:t>
      </w:r>
      <w:r>
        <w:rPr>
          <w:rFonts w:ascii="David" w:hAnsi="David" w:cs="David"/>
          <w:color w:val="000000"/>
          <w:rtl/>
        </w:rPr>
        <w:t xml:space="preserve"> עמ' 59 ש' 1); "</w:t>
      </w:r>
      <w:r>
        <w:rPr>
          <w:rFonts w:ascii="David" w:hAnsi="David" w:cs="David"/>
          <w:b/>
          <w:bCs/>
          <w:color w:val="000000"/>
          <w:rtl/>
        </w:rPr>
        <w:t>אני אדם מאוד הגון וישר</w:t>
      </w:r>
      <w:r>
        <w:rPr>
          <w:rFonts w:ascii="David" w:hAnsi="David" w:cs="David"/>
          <w:color w:val="000000"/>
          <w:rtl/>
        </w:rPr>
        <w:t>" (פסקה 3 לפסק הדין וההפניות שם לתמלול שיחה מיום 22.6.20 עמ' 3  ש' 5-4 שצורף כנספח 2א' לערעור), אלא שהתחייבויותיו של המערער כפי שקבע בית משפט קמא היו שוות "</w:t>
      </w:r>
      <w:r>
        <w:rPr>
          <w:rFonts w:ascii="David" w:hAnsi="David" w:cs="David"/>
          <w:b/>
          <w:bCs/>
          <w:color w:val="000000"/>
          <w:rtl/>
        </w:rPr>
        <w:t>כקליפת השום</w:t>
      </w:r>
      <w:r>
        <w:rPr>
          <w:rFonts w:ascii="David" w:hAnsi="David" w:cs="David"/>
          <w:color w:val="000000"/>
          <w:rtl/>
        </w:rPr>
        <w:t>" (פסקה 23 לפסק הדין).</w:t>
      </w:r>
    </w:p>
    <w:p w:rsidR="004C7BB7" w:rsidRDefault="004C7BB7" w:rsidP="004C7BB7">
      <w:pPr>
        <w:pStyle w:val="ad"/>
        <w:tabs>
          <w:tab w:val="left" w:pos="369"/>
        </w:tabs>
        <w:bidi/>
        <w:spacing w:after="240" w:line="360" w:lineRule="auto"/>
        <w:ind w:left="369"/>
        <w:jc w:val="both"/>
        <w:rPr>
          <w:rFonts w:ascii="David" w:hAnsi="David" w:cs="David"/>
          <w:color w:val="000000"/>
        </w:rPr>
      </w:pPr>
    </w:p>
    <w:p w:rsidR="00544B16" w:rsidRDefault="00544B16" w:rsidP="00CC2018">
      <w:pPr>
        <w:pStyle w:val="ad"/>
        <w:tabs>
          <w:tab w:val="left" w:pos="369"/>
        </w:tabs>
        <w:bidi/>
        <w:spacing w:after="240" w:line="360" w:lineRule="auto"/>
        <w:ind w:left="369"/>
        <w:jc w:val="both"/>
        <w:rPr>
          <w:rFonts w:ascii="David" w:hAnsi="David" w:cs="David"/>
        </w:rPr>
      </w:pPr>
      <w:r>
        <w:rPr>
          <w:rFonts w:ascii="David" w:hAnsi="David" w:cs="David"/>
          <w:color w:val="000000"/>
          <w:rtl/>
        </w:rPr>
        <w:t xml:space="preserve">עוד </w:t>
      </w:r>
      <w:r>
        <w:rPr>
          <w:rFonts w:ascii="David" w:hAnsi="David" w:cs="David"/>
          <w:rtl/>
          <w:lang w:val="en-US"/>
        </w:rPr>
        <w:t>מצ</w:t>
      </w:r>
      <w:r w:rsidRPr="004C7BB7">
        <w:rPr>
          <w:rFonts w:ascii="David" w:hAnsi="David" w:cs="David"/>
          <w:rtl/>
        </w:rPr>
        <w:t>א בית משפט קמא כי המתווכות היו הגורם היעיל בביצוע העסקה ואשר בזכותן נקשרה העסקה [וראו סעיף 14 א ל</w:t>
      </w:r>
      <w:r w:rsidRPr="002B0372">
        <w:rPr>
          <w:rFonts w:ascii="David" w:hAnsi="David" w:cs="David"/>
          <w:b/>
          <w:bCs/>
          <w:rtl/>
        </w:rPr>
        <w:t xml:space="preserve">חוק המתווכים </w:t>
      </w:r>
      <w:r w:rsidRPr="004C7BB7">
        <w:rPr>
          <w:rFonts w:ascii="David" w:hAnsi="David" w:cs="David"/>
          <w:rtl/>
        </w:rPr>
        <w:t xml:space="preserve">וקביעות בית משפט קמא בעניין זה (סעיף 13 לפסק הדין) וכן: ע"א 342/89 </w:t>
      </w:r>
      <w:r w:rsidRPr="002B0372">
        <w:rPr>
          <w:rFonts w:ascii="David" w:hAnsi="David" w:cs="David"/>
          <w:b/>
          <w:bCs/>
          <w:rtl/>
        </w:rPr>
        <w:t>ג.ז. רכסים בע"מ נ' גרופר</w:t>
      </w:r>
      <w:r w:rsidRPr="004C7BB7">
        <w:rPr>
          <w:rFonts w:ascii="David" w:hAnsi="David" w:cs="David"/>
          <w:rtl/>
        </w:rPr>
        <w:t>, מו(2) 724</w:t>
      </w:r>
      <w:r w:rsidRPr="004C7BB7">
        <w:rPr>
          <w:rFonts w:ascii="David" w:hAnsi="David" w:cs="David"/>
        </w:rPr>
        <w:t xml:space="preserve"> (1992)</w:t>
      </w:r>
      <w:r w:rsidRPr="004C7BB7">
        <w:rPr>
          <w:rFonts w:ascii="David" w:hAnsi="David" w:cs="David"/>
          <w:rtl/>
        </w:rPr>
        <w:t xml:space="preserve"> בו נקבעה הדרישה עוד בטרם עוגנה בחקיקה ועניין </w:t>
      </w:r>
      <w:r w:rsidRPr="002B0372">
        <w:rPr>
          <w:rFonts w:ascii="David" w:hAnsi="David" w:cs="David"/>
          <w:b/>
          <w:bCs/>
          <w:rtl/>
        </w:rPr>
        <w:t>מזרחי,</w:t>
      </w:r>
      <w:r w:rsidRPr="004C7BB7">
        <w:rPr>
          <w:rFonts w:ascii="David" w:hAnsi="David" w:cs="David"/>
          <w:rtl/>
        </w:rPr>
        <w:t xml:space="preserve"> פס' 36]. </w:t>
      </w:r>
    </w:p>
    <w:p w:rsidR="004C7BB7" w:rsidRDefault="004C7BB7" w:rsidP="004C7BB7">
      <w:pPr>
        <w:pStyle w:val="ad"/>
        <w:tabs>
          <w:tab w:val="left" w:pos="369"/>
        </w:tabs>
        <w:bidi/>
        <w:spacing w:after="240" w:line="360" w:lineRule="auto"/>
        <w:ind w:left="369"/>
        <w:jc w:val="both"/>
        <w:rPr>
          <w:rFonts w:ascii="David" w:hAnsi="David" w:cs="David"/>
        </w:rPr>
      </w:pPr>
    </w:p>
    <w:p w:rsidR="00544B16" w:rsidRDefault="00544B16" w:rsidP="004C7BB7">
      <w:pPr>
        <w:pStyle w:val="ad"/>
        <w:numPr>
          <w:ilvl w:val="0"/>
          <w:numId w:val="1"/>
        </w:numPr>
        <w:tabs>
          <w:tab w:val="left" w:pos="369"/>
        </w:tabs>
        <w:bidi/>
        <w:spacing w:after="240" w:line="360" w:lineRule="auto"/>
        <w:ind w:left="369" w:hanging="426"/>
        <w:jc w:val="both"/>
        <w:rPr>
          <w:rFonts w:ascii="David" w:hAnsi="David" w:cs="David"/>
        </w:rPr>
      </w:pPr>
      <w:r w:rsidRPr="004C7BB7">
        <w:rPr>
          <w:rFonts w:ascii="David" w:hAnsi="David" w:cs="David"/>
          <w:rtl/>
        </w:rPr>
        <w:t>על יסוד קביעות עובדתיות, התרשמות מהעדים וממצאי מהימנות הגיע</w:t>
      </w:r>
      <w:r>
        <w:rPr>
          <w:rFonts w:ascii="David" w:hAnsi="David" w:cs="David"/>
          <w:rtl/>
        </w:rPr>
        <w:t xml:space="preserve"> למסקנה בית המשפט למסקנה המושתתת על נסיבות המקרה הייחודית כי </w:t>
      </w:r>
      <w:r w:rsidRPr="004C7BB7">
        <w:rPr>
          <w:rFonts w:ascii="David" w:hAnsi="David" w:cs="David"/>
          <w:rtl/>
        </w:rPr>
        <w:t>המקרה דנן הוא אכן "</w:t>
      </w:r>
      <w:r w:rsidRPr="002B0372">
        <w:rPr>
          <w:rFonts w:ascii="David" w:hAnsi="David" w:cs="David"/>
          <w:b/>
          <w:bCs/>
          <w:rtl/>
        </w:rPr>
        <w:t>מקרה שקשה</w:t>
      </w:r>
      <w:r w:rsidRPr="004C7BB7">
        <w:rPr>
          <w:rFonts w:ascii="David" w:hAnsi="David" w:cs="David"/>
          <w:rtl/>
        </w:rPr>
        <w:t xml:space="preserve"> </w:t>
      </w:r>
      <w:r w:rsidRPr="002B0372">
        <w:rPr>
          <w:rFonts w:ascii="David" w:hAnsi="David" w:cs="David"/>
          <w:b/>
          <w:bCs/>
          <w:rtl/>
        </w:rPr>
        <w:t>לחשוב עליו</w:t>
      </w:r>
      <w:r w:rsidRPr="004C7BB7">
        <w:rPr>
          <w:rFonts w:ascii="David" w:hAnsi="David" w:cs="David"/>
          <w:rtl/>
        </w:rPr>
        <w:t xml:space="preserve">" </w:t>
      </w:r>
      <w:r>
        <w:rPr>
          <w:rFonts w:ascii="David" w:hAnsi="David" w:cs="David"/>
          <w:rtl/>
        </w:rPr>
        <w:t>וכי</w:t>
      </w:r>
      <w:r w:rsidRPr="004C7BB7">
        <w:rPr>
          <w:rFonts w:ascii="David" w:hAnsi="David" w:cs="David"/>
          <w:rtl/>
        </w:rPr>
        <w:t xml:space="preserve"> "</w:t>
      </w:r>
      <w:r w:rsidRPr="002B0372">
        <w:rPr>
          <w:rFonts w:ascii="David" w:hAnsi="David" w:cs="David"/>
          <w:b/>
          <w:bCs/>
          <w:rtl/>
        </w:rPr>
        <w:t>לא מדובר בחטא נקודתי</w:t>
      </w:r>
      <w:r w:rsidRPr="004C7BB7">
        <w:rPr>
          <w:rFonts w:ascii="David" w:hAnsi="David" w:cs="David"/>
          <w:rtl/>
        </w:rPr>
        <w:t>"</w:t>
      </w:r>
      <w:r>
        <w:rPr>
          <w:rFonts w:ascii="David" w:hAnsi="David" w:cs="David"/>
          <w:rtl/>
        </w:rPr>
        <w:t xml:space="preserve"> (פסקה 23 לפסק הדין).</w:t>
      </w:r>
      <w:r w:rsidRPr="004C7BB7">
        <w:rPr>
          <w:rFonts w:ascii="David" w:hAnsi="David" w:cs="David"/>
          <w:rtl/>
        </w:rPr>
        <w:t xml:space="preserve"> </w:t>
      </w:r>
      <w:r>
        <w:rPr>
          <w:rFonts w:ascii="David" w:hAnsi="David" w:cs="David"/>
          <w:rtl/>
        </w:rPr>
        <w:t>בהינתן התנהגות כה קיצונית של המערער, העולה כדי מרמה של ממש הגיע בית המשפט למסקנתו. מסקנת בית המשפט קמא בדבר התנהגותו השערורייתית של המערער נתמכה היטב בראיות דוגמת הקלטת שיחה ועדות של מר אהרון מנספלד, המתווך מטעם הרוכשים, שהשאירה רושם אמין על בית המשפט (פסקה 7 לפסק הדין) ובעדויות המשיבות שבית המשפט נתן אמון בהן (פסקה 19 לפסק הדין)</w:t>
      </w:r>
      <w:r w:rsidR="002B0372">
        <w:rPr>
          <w:rFonts w:ascii="David" w:hAnsi="David" w:cs="David" w:hint="cs"/>
          <w:rtl/>
        </w:rPr>
        <w:t>.</w:t>
      </w:r>
      <w:r>
        <w:rPr>
          <w:rFonts w:ascii="David" w:hAnsi="David" w:cs="David"/>
          <w:rtl/>
        </w:rPr>
        <w:t xml:space="preserve">  לעומת זאת</w:t>
      </w:r>
      <w:r w:rsidR="002B0372">
        <w:rPr>
          <w:rFonts w:ascii="David" w:hAnsi="David" w:cs="David" w:hint="cs"/>
          <w:rtl/>
        </w:rPr>
        <w:t>,</w:t>
      </w:r>
      <w:r>
        <w:rPr>
          <w:rFonts w:ascii="David" w:hAnsi="David" w:cs="David"/>
          <w:rtl/>
        </w:rPr>
        <w:t xml:space="preserve"> את גרסאות המערער לא קיבל בית המשפט: "</w:t>
      </w:r>
      <w:r w:rsidRPr="002B0372">
        <w:rPr>
          <w:rFonts w:ascii="David" w:hAnsi="David" w:cs="David"/>
          <w:b/>
          <w:bCs/>
          <w:rtl/>
        </w:rPr>
        <w:t>מדוע שאאמין לנתבע כי</w:t>
      </w:r>
      <w:r w:rsidRPr="004C7BB7">
        <w:rPr>
          <w:rFonts w:ascii="David" w:hAnsi="David" w:cs="David"/>
          <w:rtl/>
        </w:rPr>
        <w:t xml:space="preserve"> </w:t>
      </w:r>
      <w:r w:rsidRPr="002B0372">
        <w:rPr>
          <w:rFonts w:ascii="David" w:hAnsi="David" w:cs="David"/>
          <w:b/>
          <w:bCs/>
          <w:rtl/>
        </w:rPr>
        <w:t>התכוון לדבר אחד... ואמר דבר אחר...?"</w:t>
      </w:r>
      <w:r>
        <w:rPr>
          <w:rFonts w:ascii="David" w:hAnsi="David" w:cs="David"/>
          <w:rtl/>
        </w:rPr>
        <w:t xml:space="preserve"> (פסקה 10 לפסק הדין). ממצאי עובדה ומהימנות אלו – הם שהובילו את בית משפט קמא לקבל את התביעה.</w:t>
      </w:r>
    </w:p>
    <w:p w:rsidR="0017767F" w:rsidRDefault="0017767F" w:rsidP="0017767F">
      <w:pPr>
        <w:pStyle w:val="ad"/>
        <w:tabs>
          <w:tab w:val="left" w:pos="369"/>
        </w:tabs>
        <w:bidi/>
        <w:spacing w:after="240" w:line="360" w:lineRule="auto"/>
        <w:ind w:left="369"/>
        <w:jc w:val="both"/>
        <w:rPr>
          <w:rFonts w:ascii="David" w:hAnsi="David" w:cs="David"/>
        </w:rPr>
      </w:pPr>
    </w:p>
    <w:p w:rsidR="00544B16" w:rsidRDefault="00544B16" w:rsidP="004C7BB7">
      <w:pPr>
        <w:pStyle w:val="ad"/>
        <w:numPr>
          <w:ilvl w:val="0"/>
          <w:numId w:val="1"/>
        </w:numPr>
        <w:tabs>
          <w:tab w:val="left" w:pos="369"/>
        </w:tabs>
        <w:bidi/>
        <w:spacing w:after="240" w:line="360" w:lineRule="auto"/>
        <w:ind w:left="369" w:hanging="426"/>
        <w:jc w:val="both"/>
        <w:rPr>
          <w:rFonts w:ascii="David" w:hAnsi="David" w:cs="David"/>
          <w:color w:val="000000"/>
        </w:rPr>
      </w:pPr>
      <w:r w:rsidRPr="004C7BB7">
        <w:rPr>
          <w:rFonts w:ascii="David" w:hAnsi="David" w:cs="David"/>
          <w:rtl/>
        </w:rPr>
        <w:t>בהינתן שקביעת בית משפט קמא מבוססת על ממצאים שבעובדה, בהם לא מצאתי לנכון להתערב הנוגעים להתנהגותו הקיצונית של המערער</w:t>
      </w:r>
      <w:r>
        <w:rPr>
          <w:rFonts w:ascii="David" w:hAnsi="David" w:cs="David"/>
          <w:color w:val="000000"/>
          <w:rtl/>
        </w:rPr>
        <w:t xml:space="preserve"> סבורני כי מסקנתו של בית משפט קמא מתיישבת עם ההלכה בעניין </w:t>
      </w:r>
      <w:r>
        <w:rPr>
          <w:rFonts w:ascii="David" w:hAnsi="David" w:cs="David"/>
          <w:b/>
          <w:bCs/>
          <w:color w:val="000000"/>
          <w:rtl/>
        </w:rPr>
        <w:t>מזרחי</w:t>
      </w:r>
      <w:r>
        <w:rPr>
          <w:rFonts w:ascii="David" w:hAnsi="David" w:cs="David"/>
          <w:color w:val="000000"/>
          <w:rtl/>
        </w:rPr>
        <w:t xml:space="preserve">. </w:t>
      </w:r>
      <w:r>
        <w:rPr>
          <w:rFonts w:ascii="David" w:hAnsi="David" w:cs="David"/>
          <w:rtl/>
        </w:rPr>
        <w:t xml:space="preserve">[באשר להלכה לגבי התערבות ערכאת הערעור </w:t>
      </w:r>
      <w:r>
        <w:rPr>
          <w:rFonts w:ascii="David" w:hAnsi="David" w:cs="David"/>
          <w:color w:val="000000"/>
          <w:rtl/>
        </w:rPr>
        <w:t xml:space="preserve">בממצאים עובדתיים ובממצאי מהימנות </w:t>
      </w:r>
      <w:r>
        <w:rPr>
          <w:rFonts w:ascii="David" w:hAnsi="David" w:cs="David"/>
          <w:rtl/>
        </w:rPr>
        <w:t xml:space="preserve">ראו: ע"א 8419/13 </w:t>
      </w:r>
      <w:r>
        <w:rPr>
          <w:rFonts w:ascii="David" w:hAnsi="David" w:cs="David"/>
          <w:b/>
          <w:bCs/>
          <w:rtl/>
        </w:rPr>
        <w:t>פלוני נ' עיריית ירושלים</w:t>
      </w:r>
      <w:r>
        <w:rPr>
          <w:rFonts w:ascii="David" w:hAnsi="David" w:cs="David"/>
          <w:rtl/>
        </w:rPr>
        <w:t xml:space="preserve">, פסקה 13 (9.3.2015); ע"א 559/16 </w:t>
      </w:r>
      <w:r>
        <w:rPr>
          <w:rFonts w:ascii="David" w:hAnsi="David" w:cs="David"/>
          <w:b/>
          <w:bCs/>
          <w:rtl/>
        </w:rPr>
        <w:t>פרי</w:t>
      </w:r>
      <w:r>
        <w:rPr>
          <w:rFonts w:ascii="David" w:hAnsi="David" w:cs="David"/>
          <w:rtl/>
        </w:rPr>
        <w:t xml:space="preserve"> </w:t>
      </w:r>
      <w:r>
        <w:rPr>
          <w:rFonts w:ascii="David" w:hAnsi="David" w:cs="David"/>
          <w:b/>
          <w:bCs/>
          <w:rtl/>
        </w:rPr>
        <w:t>יעקב שירותי ניהול בע"מ נ' פקיד שומה תל אביב</w:t>
      </w:r>
      <w:r>
        <w:rPr>
          <w:rFonts w:ascii="David" w:hAnsi="David" w:cs="David"/>
          <w:rtl/>
        </w:rPr>
        <w:t>, פסקה 10 (6.11.2016)].</w:t>
      </w:r>
      <w:r>
        <w:rPr>
          <w:rFonts w:ascii="David" w:hAnsi="David" w:cs="David"/>
          <w:color w:val="000000"/>
          <w:rtl/>
        </w:rPr>
        <w:t xml:space="preserve"> ודוקו, שוכנעתי כי ממצאיו ומסקנותיו של בית בית משפט קמא כי מדובר במקרה </w:t>
      </w:r>
      <w:r>
        <w:rPr>
          <w:rFonts w:ascii="David" w:hAnsi="David" w:cs="David"/>
          <w:b/>
          <w:bCs/>
          <w:color w:val="000000"/>
          <w:rtl/>
        </w:rPr>
        <w:t>חריג וקיצוני</w:t>
      </w:r>
      <w:r>
        <w:rPr>
          <w:rFonts w:ascii="David" w:hAnsi="David" w:cs="David"/>
          <w:color w:val="000000"/>
          <w:rtl/>
        </w:rPr>
        <w:t xml:space="preserve"> שמצדיק סטי</w:t>
      </w:r>
      <w:r w:rsidR="002B0372">
        <w:rPr>
          <w:rFonts w:ascii="David" w:hAnsi="David" w:cs="David" w:hint="cs"/>
          <w:color w:val="000000"/>
          <w:rtl/>
        </w:rPr>
        <w:t>י</w:t>
      </w:r>
      <w:r>
        <w:rPr>
          <w:rFonts w:ascii="David" w:hAnsi="David" w:cs="David"/>
          <w:color w:val="000000"/>
          <w:rtl/>
        </w:rPr>
        <w:t>ה מן הכלל המחייב קיומו של הסכם בכתב מעוגנים היטב בממצאים העובדתיים ה</w:t>
      </w:r>
      <w:r w:rsidR="002B0372">
        <w:rPr>
          <w:rFonts w:ascii="David" w:hAnsi="David" w:cs="David"/>
          <w:color w:val="000000"/>
          <w:rtl/>
        </w:rPr>
        <w:t>קונקרטיים</w:t>
      </w:r>
      <w:r>
        <w:rPr>
          <w:rFonts w:ascii="David" w:hAnsi="David" w:cs="David"/>
          <w:color w:val="000000"/>
          <w:rtl/>
        </w:rPr>
        <w:t xml:space="preserve"> </w:t>
      </w:r>
      <w:r>
        <w:rPr>
          <w:rFonts w:ascii="David" w:hAnsi="David" w:cs="David"/>
          <w:rtl/>
          <w:lang w:val="en-US"/>
        </w:rPr>
        <w:t xml:space="preserve">ובנסיבות החריגות עליהן עמד בית המשפט בפסק דינו. </w:t>
      </w:r>
    </w:p>
    <w:p w:rsidR="000D5854" w:rsidRDefault="000D5854" w:rsidP="000D5854">
      <w:pPr>
        <w:pStyle w:val="ad"/>
        <w:tabs>
          <w:tab w:val="left" w:pos="369"/>
        </w:tabs>
        <w:bidi/>
        <w:spacing w:after="240" w:line="360" w:lineRule="auto"/>
        <w:ind w:left="369"/>
        <w:jc w:val="both"/>
        <w:rPr>
          <w:rFonts w:ascii="David" w:hAnsi="David" w:cs="David"/>
          <w:color w:val="000000"/>
        </w:rPr>
      </w:pPr>
    </w:p>
    <w:p w:rsidR="00544B16" w:rsidRDefault="00544B16" w:rsidP="004C7BB7">
      <w:pPr>
        <w:pStyle w:val="ad"/>
        <w:numPr>
          <w:ilvl w:val="0"/>
          <w:numId w:val="1"/>
        </w:numPr>
        <w:tabs>
          <w:tab w:val="left" w:pos="369"/>
        </w:tabs>
        <w:bidi/>
        <w:spacing w:after="240" w:line="360" w:lineRule="auto"/>
        <w:ind w:left="369" w:hanging="426"/>
        <w:jc w:val="both"/>
        <w:rPr>
          <w:rFonts w:ascii="David" w:hAnsi="David" w:cs="David"/>
        </w:rPr>
      </w:pPr>
      <w:r>
        <w:rPr>
          <w:rFonts w:ascii="David" w:hAnsi="David" w:cs="David"/>
          <w:rtl/>
        </w:rPr>
        <w:lastRenderedPageBreak/>
        <w:t xml:space="preserve">למען </w:t>
      </w:r>
      <w:r>
        <w:rPr>
          <w:rFonts w:ascii="David" w:hAnsi="David" w:cs="David"/>
          <w:rtl/>
          <w:lang w:val="en-US"/>
        </w:rPr>
        <w:t>שלמות</w:t>
      </w:r>
      <w:r>
        <w:rPr>
          <w:rFonts w:ascii="David" w:hAnsi="David" w:cs="David"/>
          <w:rtl/>
        </w:rPr>
        <w:t xml:space="preserve"> התמונה אציין כי ערה אני </w:t>
      </w:r>
      <w:r>
        <w:rPr>
          <w:rFonts w:ascii="David" w:hAnsi="David" w:cs="David"/>
          <w:color w:val="000000"/>
          <w:rtl/>
        </w:rPr>
        <w:t xml:space="preserve">לפסק הדין שבגדרי רע"א 863/24 </w:t>
      </w:r>
      <w:r>
        <w:rPr>
          <w:rFonts w:ascii="David" w:hAnsi="David" w:cs="David"/>
          <w:b/>
          <w:bCs/>
          <w:color w:val="000000"/>
          <w:rtl/>
        </w:rPr>
        <w:t>מ.מ.מ אחזקות וניהול מבנים בע"מ נ' מימון</w:t>
      </w:r>
      <w:r>
        <w:rPr>
          <w:rFonts w:ascii="David" w:hAnsi="David" w:cs="David"/>
          <w:color w:val="000000"/>
          <w:rtl/>
        </w:rPr>
        <w:t xml:space="preserve"> (6.2.2024) במסגרתו נדחתה </w:t>
      </w:r>
      <w:r>
        <w:rPr>
          <w:rFonts w:ascii="David" w:hAnsi="David" w:cs="David"/>
          <w:color w:val="000000"/>
          <w:spacing w:val="10"/>
          <w:shd w:val="clear" w:color="auto" w:fill="FFFFFF"/>
          <w:rtl/>
        </w:rPr>
        <w:t xml:space="preserve">בקשת רשות הערעור על </w:t>
      </w:r>
      <w:r>
        <w:rPr>
          <w:rFonts w:ascii="David" w:hAnsi="David" w:cs="David"/>
          <w:rtl/>
        </w:rPr>
        <w:t xml:space="preserve">החלטתה של חברתנו כב' השופטת נועה גרוסמן בע"א (מחוזי ת"א) 35662-11-22 </w:t>
      </w:r>
      <w:r>
        <w:rPr>
          <w:rFonts w:ascii="David" w:hAnsi="David" w:cs="David"/>
          <w:b/>
          <w:bCs/>
          <w:rtl/>
        </w:rPr>
        <w:t>מימון נ' מ.מ.מ. אחזקות וניהול מבנים בע"מ</w:t>
      </w:r>
      <w:r>
        <w:rPr>
          <w:rFonts w:ascii="David" w:hAnsi="David" w:cs="David"/>
          <w:rtl/>
        </w:rPr>
        <w:t xml:space="preserve"> (8.10.2023) [להלן: </w:t>
      </w:r>
      <w:r>
        <w:rPr>
          <w:rFonts w:ascii="David" w:hAnsi="David" w:cs="David"/>
          <w:b/>
          <w:bCs/>
          <w:rtl/>
        </w:rPr>
        <w:t>עניין מימון</w:t>
      </w:r>
      <w:r>
        <w:rPr>
          <w:rFonts w:ascii="David" w:hAnsi="David" w:cs="David"/>
          <w:rtl/>
        </w:rPr>
        <w:t>]. בעניין מימון קבע בית המשפט המחוזי כי נסיבות המקרה אינן עולות בגדר המקרים החריגים בהם ניתן להתגבר על היעדר הסכם תיווך בכתב. סבורני כי הנסיבות ב</w:t>
      </w:r>
      <w:r w:rsidRPr="002B0372">
        <w:rPr>
          <w:rFonts w:ascii="David" w:hAnsi="David" w:cs="David"/>
          <w:b/>
          <w:bCs/>
          <w:rtl/>
        </w:rPr>
        <w:t xml:space="preserve">עניין מימון </w:t>
      </w:r>
      <w:r>
        <w:rPr>
          <w:rFonts w:ascii="David" w:hAnsi="David" w:cs="David"/>
          <w:rtl/>
        </w:rPr>
        <w:t>שונות מענייננו בין היתר מאחר שב</w:t>
      </w:r>
      <w:r w:rsidRPr="002B0372">
        <w:rPr>
          <w:rFonts w:ascii="David" w:hAnsi="David" w:cs="David"/>
          <w:b/>
          <w:bCs/>
          <w:rtl/>
        </w:rPr>
        <w:t>עניין</w:t>
      </w:r>
      <w:r>
        <w:rPr>
          <w:rFonts w:ascii="David" w:hAnsi="David" w:cs="David"/>
          <w:rtl/>
        </w:rPr>
        <w:t xml:space="preserve"> </w:t>
      </w:r>
      <w:r w:rsidRPr="002B0372">
        <w:rPr>
          <w:rFonts w:ascii="David" w:hAnsi="David" w:cs="David"/>
          <w:b/>
          <w:bCs/>
          <w:rtl/>
        </w:rPr>
        <w:t>מימון</w:t>
      </w:r>
      <w:r>
        <w:rPr>
          <w:rFonts w:ascii="David" w:hAnsi="David" w:cs="David"/>
          <w:rtl/>
        </w:rPr>
        <w:t xml:space="preserve"> הייתה היכרות עסקית מוקדמת בין המתווכים לבין הלקוחות ועסקאות תיווך קודמות ביניהם בהן חתם הלקוח על חוזה תיווך בכתב (וראו פסק הדין של בית המשפט המחוזי בעניין מימון, סעיף 5 וכן סעיף 32 לפסק הדין). בענייננו, בשונה מעניין מימון הנ"ל לא היו עסקאות קודמות והתחייבותו של המערער לחתום על הסכם התיווך הייתה כה ברורה וקונקרטית באופן שעולה כדי מרמה ממשית. בכל מקרה בהינתן הניתוח העובדתי המסוים בענייננו איני רואה הצדקה להתערב במסקנתו של בית המשפט קמא.</w:t>
      </w:r>
    </w:p>
    <w:p w:rsidR="00694556" w:rsidRDefault="00544B16" w:rsidP="00544B16">
      <w:pPr>
        <w:spacing w:line="360" w:lineRule="auto"/>
        <w:jc w:val="both"/>
        <w:rPr>
          <w:rFonts w:ascii="Arial" w:hAnsi="Arial"/>
          <w:noProof w:val="0"/>
          <w:rtl/>
        </w:rPr>
      </w:pPr>
      <w:r>
        <w:rPr>
          <w:rFonts w:ascii="David" w:hAnsi="David"/>
          <w:b/>
          <w:bCs/>
          <w:rtl/>
        </w:rPr>
        <w:t>נוכח האמור אציע להורות על דחיית הערעור ולחייב את המערער בהוצאות המשיבות בערעור בסך 30,000 ₪.</w:t>
      </w:r>
    </w:p>
    <w:tbl>
      <w:tblPr>
        <w:tblStyle w:val="a9"/>
        <w:tblpPr w:leftFromText="180" w:rightFromText="180" w:vertAnchor="text" w:horzAnchor="margin" w:tblpY="203"/>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831"/>
      </w:tblGrid>
      <w:tr w:rsidR="00CC2018" w:rsidTr="00CC2018">
        <w:trPr>
          <w:trHeight w:val="476"/>
        </w:trPr>
        <w:tc>
          <w:tcPr>
            <w:tcW w:w="2831" w:type="dxa"/>
            <w:tcBorders>
              <w:top w:val="nil"/>
              <w:left w:val="nil"/>
              <w:bottom w:val="single" w:sz="4" w:space="0" w:color="auto"/>
              <w:right w:val="nil"/>
            </w:tcBorders>
            <w:hideMark/>
          </w:tcPr>
          <w:p w:rsidR="00CC2018" w:rsidRDefault="00CC2018" w:rsidP="00CC2018">
            <w:pPr>
              <w:jc w:val="center"/>
              <w:rPr>
                <w:rtl/>
              </w:rPr>
            </w:pPr>
            <w:r>
              <w:drawing>
                <wp:inline distT="0" distB="0" distL="0" distR="0" wp14:anchorId="270EC761" wp14:editId="7D038A55">
                  <wp:extent cx="704850" cy="36195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extLst/>
                          </a:blip>
                          <a:stretch>
                            <a:fillRect/>
                          </a:stretch>
                        </pic:blipFill>
                        <pic:spPr>
                          <a:xfrm>
                            <a:off x="0" y="0"/>
                            <a:ext cx="704850" cy="361950"/>
                          </a:xfrm>
                          <a:prstGeom prst="rect">
                            <a:avLst/>
                          </a:prstGeom>
                        </pic:spPr>
                      </pic:pic>
                    </a:graphicData>
                  </a:graphic>
                </wp:inline>
              </w:drawing>
            </w:r>
          </w:p>
        </w:tc>
      </w:tr>
      <w:tr w:rsidR="00CC2018" w:rsidTr="00CC2018">
        <w:trPr>
          <w:trHeight w:val="563"/>
        </w:trPr>
        <w:tc>
          <w:tcPr>
            <w:tcW w:w="2831" w:type="dxa"/>
            <w:tcBorders>
              <w:top w:val="single" w:sz="4" w:space="0" w:color="auto"/>
              <w:left w:val="nil"/>
              <w:bottom w:val="nil"/>
              <w:right w:val="nil"/>
            </w:tcBorders>
            <w:hideMark/>
          </w:tcPr>
          <w:p w:rsidR="00CC2018" w:rsidRDefault="00CC2018" w:rsidP="00CC2018">
            <w:pPr>
              <w:jc w:val="center"/>
              <w:rPr>
                <w:b/>
                <w:bCs/>
                <w:rtl/>
              </w:rPr>
            </w:pPr>
            <w:r>
              <w:rPr>
                <w:rFonts w:hint="cs"/>
                <w:b/>
                <w:bCs/>
                <w:rtl/>
              </w:rPr>
              <w:t>טל לוי מיכאלי</w:t>
            </w:r>
            <w:r>
              <w:rPr>
                <w:b/>
                <w:bCs/>
                <w:rtl/>
              </w:rPr>
              <w:t>, שופטת</w:t>
            </w:r>
          </w:p>
        </w:tc>
      </w:tr>
    </w:tbl>
    <w:p w:rsidR="00694556" w:rsidRDefault="00694556">
      <w:pPr>
        <w:spacing w:line="360" w:lineRule="auto"/>
        <w:jc w:val="both"/>
        <w:rPr>
          <w:rFonts w:ascii="Arial" w:hAnsi="Arial"/>
          <w:noProof w:val="0"/>
          <w:rtl/>
        </w:rPr>
      </w:pPr>
    </w:p>
    <w:p w:rsidR="00CC2018" w:rsidRDefault="00CC2018" w:rsidP="00AA18F1">
      <w:pPr>
        <w:jc w:val="center"/>
      </w:pPr>
    </w:p>
    <w:p w:rsidR="00CC2018" w:rsidRDefault="00CC2018" w:rsidP="00AA18F1">
      <w:pPr>
        <w:rPr>
          <w:rtl/>
        </w:rPr>
      </w:pPr>
    </w:p>
    <w:p w:rsidR="00CC2018" w:rsidRDefault="00CC2018">
      <w:pPr>
        <w:spacing w:line="360" w:lineRule="auto"/>
        <w:jc w:val="both"/>
        <w:rPr>
          <w:rFonts w:ascii="Arial" w:hAnsi="Arial"/>
          <w:noProof w:val="0"/>
          <w:rtl/>
        </w:rPr>
      </w:pPr>
    </w:p>
    <w:p w:rsidR="00CC2018" w:rsidRDefault="00CC2018">
      <w:pPr>
        <w:spacing w:line="360" w:lineRule="auto"/>
        <w:jc w:val="both"/>
        <w:rPr>
          <w:rFonts w:ascii="Arial" w:hAnsi="Arial"/>
          <w:noProof w:val="0"/>
          <w:rtl/>
        </w:rPr>
      </w:pPr>
    </w:p>
    <w:p w:rsidR="002B0372" w:rsidRDefault="002B0372" w:rsidP="002B0372">
      <w:pPr>
        <w:spacing w:line="360" w:lineRule="auto"/>
        <w:jc w:val="both"/>
        <w:rPr>
          <w:rFonts w:ascii="Arial" w:hAnsi="Arial"/>
          <w:noProof w:val="0"/>
          <w:rtl/>
        </w:rPr>
      </w:pPr>
      <w:r w:rsidRPr="005E2646">
        <w:rPr>
          <w:rFonts w:ascii="Arial" w:hAnsi="Arial" w:hint="cs"/>
          <w:b/>
          <w:bCs/>
          <w:noProof w:val="0"/>
          <w:u w:val="single"/>
          <w:rtl/>
        </w:rPr>
        <w:t>השופטת ע. ברקוביץ</w:t>
      </w:r>
      <w:r>
        <w:rPr>
          <w:rFonts w:ascii="Arial" w:hAnsi="Arial" w:hint="cs"/>
          <w:noProof w:val="0"/>
          <w:rtl/>
        </w:rPr>
        <w:t xml:space="preserve">: </w:t>
      </w: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Pr>
      </w:pPr>
      <w:r w:rsidRPr="005E2646">
        <w:rPr>
          <w:rFonts w:ascii="David" w:hAnsi="David" w:cs="David"/>
          <w:color w:val="000000"/>
          <w:rtl/>
        </w:rPr>
        <w:t>אני מסכימה  עם פסק הדין של חברתי כב' השופטת טל לוי-מיכאלי  ולתוצאה כי דין הערעור להידחות.</w:t>
      </w:r>
    </w:p>
    <w:p w:rsidR="002B0372" w:rsidRPr="005E2646" w:rsidRDefault="002B0372" w:rsidP="002B0372">
      <w:pPr>
        <w:pStyle w:val="ad"/>
        <w:tabs>
          <w:tab w:val="left" w:pos="7632"/>
        </w:tabs>
        <w:bidi/>
        <w:spacing w:line="360" w:lineRule="auto"/>
        <w:jc w:val="both"/>
        <w:rPr>
          <w:rFonts w:ascii="David" w:hAnsi="David" w:cs="David"/>
          <w:color w:val="000000"/>
        </w:rPr>
      </w:pP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 xml:space="preserve">מקרה זה הציב דילמה המשקפת פער בין דין לבין צדק ויושר. </w:t>
      </w:r>
    </w:p>
    <w:p w:rsidR="002B0372" w:rsidRPr="005E2646" w:rsidRDefault="002B0372" w:rsidP="002B0372">
      <w:pPr>
        <w:pStyle w:val="ad"/>
        <w:bidi/>
        <w:rPr>
          <w:rFonts w:ascii="David" w:hAnsi="David" w:cs="David"/>
          <w:color w:val="000000"/>
        </w:rPr>
      </w:pPr>
    </w:p>
    <w:p w:rsidR="002B0372" w:rsidRDefault="002B0372" w:rsidP="002B0372">
      <w:pPr>
        <w:pStyle w:val="ad"/>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מזווית ראייה משפטית טהורה- בתי המשפט חזרו והדגישו את חשיב</w:t>
      </w:r>
      <w:r>
        <w:rPr>
          <w:rFonts w:ascii="David" w:hAnsi="David" w:cs="David"/>
          <w:color w:val="000000"/>
          <w:rtl/>
        </w:rPr>
        <w:t xml:space="preserve">ותה של דרישת הסכם תיווך בכתב, </w:t>
      </w:r>
      <w:r w:rsidRPr="005E2646">
        <w:rPr>
          <w:rFonts w:ascii="David" w:hAnsi="David" w:cs="David"/>
          <w:color w:val="000000"/>
          <w:rtl/>
        </w:rPr>
        <w:t>תוך שהובהר כי קשה לחשוב על מקרים בהם ניתן יהיה לוותר עליה (</w:t>
      </w:r>
      <w:hyperlink r:id="rId10" w:history="1">
        <w:r w:rsidRPr="001A776D">
          <w:rPr>
            <w:rStyle w:val="Hyperlink"/>
            <w:rFonts w:ascii="David" w:hAnsi="David" w:cs="David"/>
            <w:color w:val="000000"/>
            <w:u w:val="none"/>
            <w:rtl/>
          </w:rPr>
          <w:t>ע"א 3384/16 </w:t>
        </w:r>
        <w:r w:rsidRPr="001A776D">
          <w:rPr>
            <w:rStyle w:val="Hyperlink"/>
            <w:rFonts w:ascii="David" w:hAnsi="David" w:cs="David"/>
            <w:b/>
            <w:bCs/>
            <w:color w:val="000000"/>
            <w:u w:val="none"/>
            <w:rtl/>
          </w:rPr>
          <w:t>עמית מזרחי נ' אהוד מרקוביץ</w:t>
        </w:r>
        <w:r w:rsidRPr="001A776D">
          <w:rPr>
            <w:rStyle w:val="Hyperlink"/>
            <w:rFonts w:ascii="David" w:hAnsi="David" w:cs="David"/>
            <w:color w:val="000000"/>
            <w:u w:val="none"/>
            <w:rtl/>
          </w:rPr>
          <w:t> (נבו 5.7.2018)‏</w:t>
        </w:r>
      </w:hyperlink>
      <w:r w:rsidRPr="001A776D">
        <w:rPr>
          <w:rFonts w:ascii="David" w:hAnsi="David" w:cs="David"/>
          <w:color w:val="000000"/>
          <w:rtl/>
        </w:rPr>
        <w:t>‏</w:t>
      </w:r>
      <w:r w:rsidRPr="005E2646">
        <w:rPr>
          <w:rFonts w:ascii="David" w:hAnsi="David" w:cs="David"/>
          <w:color w:val="000000"/>
          <w:rtl/>
        </w:rPr>
        <w:t xml:space="preserve"> , להלן: "</w:t>
      </w:r>
      <w:r w:rsidRPr="005E2646">
        <w:rPr>
          <w:rFonts w:ascii="David" w:hAnsi="David" w:cs="David"/>
          <w:b/>
          <w:bCs/>
          <w:color w:val="000000"/>
          <w:rtl/>
        </w:rPr>
        <w:t>עניין מזרחי</w:t>
      </w:r>
      <w:r w:rsidRPr="005E2646">
        <w:rPr>
          <w:rFonts w:ascii="David" w:hAnsi="David" w:cs="David"/>
          <w:color w:val="000000"/>
          <w:rtl/>
        </w:rPr>
        <w:t>").</w:t>
      </w:r>
    </w:p>
    <w:p w:rsidR="002B0372" w:rsidRPr="005E2646" w:rsidRDefault="002B0372" w:rsidP="002B0372">
      <w:pPr>
        <w:pStyle w:val="ad"/>
        <w:tabs>
          <w:tab w:val="left" w:pos="369"/>
        </w:tabs>
        <w:bidi/>
        <w:spacing w:after="240" w:line="360" w:lineRule="auto"/>
        <w:ind w:left="369"/>
        <w:jc w:val="both"/>
        <w:rPr>
          <w:rFonts w:ascii="David" w:hAnsi="David" w:cs="David"/>
          <w:color w:val="000000"/>
          <w:rtl/>
        </w:rPr>
      </w:pPr>
    </w:p>
    <w:p w:rsidR="002B0372" w:rsidRDefault="002B0372" w:rsidP="002B0372">
      <w:pPr>
        <w:pStyle w:val="ad"/>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מזווית ראייה של שיקולי צדק ויושר - קשה להצדיק מתן פטור מתשלום ללקוח שקבל שירותי תיווך, התחייב לחתום על הסכם תיווך אך התחמק מהתחייבותו תוך שסובב את המתווכות בכחש, ובדיעבד נתלה בטיעון פורמאלי- היעדר הסכם תיווך בכתב כמתחייב בחוק המתווכים.</w:t>
      </w:r>
    </w:p>
    <w:p w:rsidR="002B0372" w:rsidRPr="005E2646" w:rsidRDefault="002B0372" w:rsidP="002B0372">
      <w:pPr>
        <w:pStyle w:val="ad"/>
        <w:tabs>
          <w:tab w:val="left" w:pos="369"/>
        </w:tabs>
        <w:bidi/>
        <w:spacing w:after="240" w:line="360" w:lineRule="auto"/>
        <w:ind w:left="369"/>
        <w:jc w:val="both"/>
        <w:rPr>
          <w:rFonts w:ascii="David" w:hAnsi="David" w:cs="David"/>
          <w:color w:val="000000"/>
          <w:rtl/>
        </w:rPr>
      </w:pP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lastRenderedPageBreak/>
        <w:t>הגם שהריני ערה לסכנת "המדרון החלקלק" ולחשש כי ניצול אותו "פתח צר" שהותירה הפסיקה ל"מקרים חריגים וקיצוניים",  עלול לגרום לכך "שהחריג של היום יהפוך לכלל של המחר", כמו גם להתממשות האימרה "</w:t>
      </w:r>
      <w:r w:rsidRPr="005E2646">
        <w:rPr>
          <w:rFonts w:ascii="David" w:hAnsi="David" w:cs="David"/>
          <w:color w:val="000000"/>
        </w:rPr>
        <w:t>Hard cases make bad law</w:t>
      </w:r>
      <w:r w:rsidRPr="005E2646">
        <w:rPr>
          <w:rFonts w:ascii="David" w:hAnsi="David" w:cs="David"/>
          <w:color w:val="000000"/>
          <w:rtl/>
        </w:rPr>
        <w:t xml:space="preserve"> ", הריני סבורה כי נסיבות המקרה הנדון, כפי שנקבעו בבית משפט קמא, מצדיקות את התוצאה</w:t>
      </w:r>
      <w:r>
        <w:rPr>
          <w:rFonts w:ascii="David" w:hAnsi="David" w:cs="David" w:hint="cs"/>
          <w:color w:val="000000"/>
          <w:rtl/>
        </w:rPr>
        <w:t xml:space="preserve"> </w:t>
      </w:r>
      <w:r>
        <w:rPr>
          <w:rFonts w:ascii="David" w:hAnsi="David" w:cs="David"/>
          <w:color w:val="000000"/>
          <w:rtl/>
        </w:rPr>
        <w:t>–</w:t>
      </w:r>
      <w:r w:rsidRPr="005E2646">
        <w:rPr>
          <w:rFonts w:ascii="David" w:hAnsi="David" w:cs="David"/>
          <w:color w:val="000000"/>
          <w:rtl/>
        </w:rPr>
        <w:t xml:space="preserve"> חיוב בתשלום דמי התיווך.</w:t>
      </w:r>
    </w:p>
    <w:p w:rsidR="002B0372" w:rsidRPr="005E2646" w:rsidRDefault="002B0372" w:rsidP="002B0372">
      <w:pPr>
        <w:pStyle w:val="ad"/>
        <w:bidi/>
        <w:spacing w:line="360" w:lineRule="auto"/>
        <w:jc w:val="both"/>
        <w:rPr>
          <w:rFonts w:ascii="David" w:hAnsi="David" w:cs="David"/>
          <w:color w:val="000000"/>
        </w:rPr>
      </w:pP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כפי שקבע בית משפט קמא, אין מדובר רק בחוסר תום לב אלא בהתנהלות "</w:t>
      </w:r>
      <w:r w:rsidRPr="005E2646">
        <w:rPr>
          <w:rFonts w:ascii="David" w:hAnsi="David" w:cs="David"/>
          <w:b/>
          <w:bCs/>
          <w:color w:val="000000"/>
          <w:rtl/>
        </w:rPr>
        <w:t>כל כך פסולה וכל כך קיצונית</w:t>
      </w:r>
      <w:r w:rsidRPr="005E2646">
        <w:rPr>
          <w:rFonts w:ascii="David" w:hAnsi="David" w:cs="David"/>
          <w:color w:val="000000"/>
          <w:rtl/>
        </w:rPr>
        <w:t>", עת המערער סובב בכחש את המתווכות, שעה שהוא התחייב לחתום על הסכם התיווך  כאשר יימצא קונה, אלא שהוא הסתיר מהמתווכות את המקום והזמן שנקבעו לחתימה, ולאחר שביררו זאת דרש שלא תגענה ואף גרם לאחת מה</w:t>
      </w:r>
      <w:r>
        <w:rPr>
          <w:rFonts w:ascii="David" w:hAnsi="David" w:cs="David"/>
          <w:color w:val="000000"/>
          <w:rtl/>
        </w:rPr>
        <w:t>ן שהגיע למפגש, לעזוב בבושת פנים</w:t>
      </w:r>
      <w:r w:rsidRPr="005E2646">
        <w:rPr>
          <w:rFonts w:ascii="David" w:hAnsi="David" w:cs="David"/>
          <w:color w:val="000000"/>
          <w:rtl/>
        </w:rPr>
        <w:t xml:space="preserve"> </w:t>
      </w:r>
      <w:r>
        <w:rPr>
          <w:rFonts w:ascii="David" w:hAnsi="David" w:cs="David" w:hint="cs"/>
          <w:color w:val="000000"/>
          <w:rtl/>
        </w:rPr>
        <w:t>(</w:t>
      </w:r>
      <w:r w:rsidRPr="005E2646">
        <w:rPr>
          <w:rFonts w:ascii="David" w:hAnsi="David" w:cs="David"/>
          <w:color w:val="000000"/>
          <w:rtl/>
        </w:rPr>
        <w:t>סע'  19 לפסק הדין).</w:t>
      </w:r>
    </w:p>
    <w:p w:rsidR="002B0372" w:rsidRPr="005E2646" w:rsidRDefault="002B0372" w:rsidP="002B0372">
      <w:pPr>
        <w:pStyle w:val="ad"/>
        <w:bidi/>
        <w:rPr>
          <w:rFonts w:ascii="David" w:hAnsi="David" w:cs="David"/>
          <w:color w:val="000000"/>
        </w:rPr>
      </w:pP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בנוסף  לטעמים שצוינו על ידי בית משפט קמא, המקובלים עלי, ניתן להגיע לתוצאה בדרכים נוספות:</w:t>
      </w:r>
    </w:p>
    <w:p w:rsidR="002B0372" w:rsidRPr="005E2646" w:rsidRDefault="002B0372" w:rsidP="002B0372">
      <w:pPr>
        <w:pStyle w:val="ad"/>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הייחוד של מקרה זה בא לידי ביטוי בכך שהמתווכות עשו את המוטל עליהם, אלא שהמערער הערים עליהן. בנסיבות אלו, כאשר מחדלן של המתווכות לא נגרם מחמת רשלנותן אלא בעטיו של המערער, ראוי כי תישמע "זעקת ההגינות".</w:t>
      </w:r>
    </w:p>
    <w:p w:rsidR="002B0372" w:rsidRDefault="002B0372" w:rsidP="002B0372">
      <w:pPr>
        <w:tabs>
          <w:tab w:val="left" w:pos="369"/>
        </w:tabs>
        <w:spacing w:line="360" w:lineRule="auto"/>
        <w:ind w:left="369"/>
        <w:rPr>
          <w:rFonts w:ascii="David" w:hAnsi="David"/>
          <w:color w:val="000000"/>
          <w:rtl/>
        </w:rPr>
      </w:pPr>
      <w:r w:rsidRPr="005E2646">
        <w:rPr>
          <w:rFonts w:ascii="David" w:hAnsi="David"/>
          <w:color w:val="000000"/>
          <w:rtl/>
        </w:rPr>
        <w:t>על פי ניתוח זה, אבן הבוחן לריכוכה של דרישת הכתב לא נעוצה במידת הריכוך של</w:t>
      </w:r>
      <w:r>
        <w:rPr>
          <w:rFonts w:ascii="David" w:hAnsi="David"/>
          <w:color w:val="000000"/>
          <w:rtl/>
        </w:rPr>
        <w:t xml:space="preserve"> דרישת הכתב, אלא בחומרת התרמית</w:t>
      </w:r>
      <w:r w:rsidRPr="005E2646">
        <w:rPr>
          <w:rFonts w:ascii="David" w:hAnsi="David"/>
          <w:color w:val="000000"/>
          <w:rtl/>
        </w:rPr>
        <w:t xml:space="preserve"> (ר' פרופ' </w:t>
      </w:r>
      <w:r w:rsidRPr="002B0372">
        <w:rPr>
          <w:rFonts w:ascii="David" w:hAnsi="David"/>
          <w:color w:val="000000"/>
          <w:rtl/>
        </w:rPr>
        <w:t xml:space="preserve">א' </w:t>
      </w:r>
      <w:hyperlink r:id="rId11" w:history="1">
        <w:r w:rsidRPr="002B0372">
          <w:rPr>
            <w:rFonts w:ascii="David" w:hAnsi="David"/>
            <w:rtl/>
          </w:rPr>
          <w:t>וינרוט במאמרו "דרישת הכתב בעסקת תיווך במקרקעין"</w:t>
        </w:r>
      </w:hyperlink>
      <w:r>
        <w:rPr>
          <w:rFonts w:ascii="David" w:hAnsi="David" w:hint="cs"/>
          <w:color w:val="000000"/>
          <w:rtl/>
        </w:rPr>
        <w:t>,</w:t>
      </w:r>
      <w:r>
        <w:rPr>
          <w:rFonts w:ascii="David" w:hAnsi="David"/>
          <w:color w:val="000000"/>
        </w:rPr>
        <w:t xml:space="preserve"> </w:t>
      </w:r>
      <w:r w:rsidRPr="002B0372">
        <w:rPr>
          <w:rFonts w:ascii="David" w:hAnsi="David"/>
          <w:b/>
          <w:bCs/>
          <w:color w:val="000000"/>
          <w:rtl/>
        </w:rPr>
        <w:t>משפט ועסקים</w:t>
      </w:r>
      <w:r>
        <w:rPr>
          <w:rFonts w:ascii="David" w:hAnsi="David" w:hint="cs"/>
          <w:color w:val="000000"/>
          <w:rtl/>
        </w:rPr>
        <w:t>,</w:t>
      </w:r>
      <w:r>
        <w:rPr>
          <w:rFonts w:ascii="David" w:hAnsi="David"/>
          <w:color w:val="000000"/>
          <w:rtl/>
        </w:rPr>
        <w:t xml:space="preserve"> כב 121 (2019)</w:t>
      </w:r>
      <w:r>
        <w:rPr>
          <w:rFonts w:ascii="David" w:hAnsi="David" w:hint="cs"/>
          <w:color w:val="000000"/>
          <w:rtl/>
        </w:rPr>
        <w:t xml:space="preserve">, </w:t>
      </w:r>
      <w:hyperlink r:id="rId12" w:history="1">
        <w:r w:rsidRPr="00590A51">
          <w:rPr>
            <w:rStyle w:val="Hyperlink"/>
            <w:rFonts w:ascii="David" w:hAnsi="David"/>
            <w:color w:val="auto"/>
            <w:u w:val="none"/>
          </w:rPr>
          <w:t>https://idclawreview.org/2018/08/22/vol22_weinroth</w:t>
        </w:r>
      </w:hyperlink>
      <w:r w:rsidRPr="00590A51">
        <w:rPr>
          <w:rFonts w:ascii="David" w:hAnsi="David" w:hint="cs"/>
          <w:rtl/>
        </w:rPr>
        <w:t xml:space="preserve">). </w:t>
      </w:r>
    </w:p>
    <w:p w:rsidR="002B0372" w:rsidRPr="00590A51" w:rsidRDefault="002B0372" w:rsidP="002B0372">
      <w:pPr>
        <w:tabs>
          <w:tab w:val="left" w:pos="369"/>
        </w:tabs>
        <w:spacing w:line="360" w:lineRule="auto"/>
        <w:jc w:val="both"/>
        <w:rPr>
          <w:rFonts w:ascii="David" w:hAnsi="David"/>
          <w:color w:val="000000"/>
          <w:rtl/>
        </w:rPr>
      </w:pP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tl/>
        </w:rPr>
      </w:pPr>
      <w:r w:rsidRPr="005E2646">
        <w:rPr>
          <w:rFonts w:ascii="David" w:hAnsi="David" w:cs="David"/>
          <w:color w:val="000000"/>
          <w:rtl/>
        </w:rPr>
        <w:t>זאת ועוד. כאמור, תכליתה של הדרישה לקיומו של הסכם תיווך בכתב, היא להגן על צרכן שירותי התיווך. כפי שנקבע בבית משפט קמא, עלה בידי המתווכות להצביע על נסיבות מרחיקות לכת אשר בכוחן לגבור על הטעמים כבדי המשקל המצויים בבסיס דרישת הכתב (ראו והשוו חוות דעתו של כב' השופט אלרון ב</w:t>
      </w:r>
      <w:r w:rsidRPr="002B0372">
        <w:rPr>
          <w:rFonts w:ascii="David" w:hAnsi="David" w:cs="David"/>
          <w:b/>
          <w:bCs/>
          <w:color w:val="000000"/>
          <w:rtl/>
        </w:rPr>
        <w:t>עניין מזרחי</w:t>
      </w:r>
      <w:r w:rsidRPr="005E2646">
        <w:rPr>
          <w:rFonts w:ascii="David" w:hAnsi="David" w:cs="David"/>
          <w:color w:val="000000"/>
          <w:rtl/>
        </w:rPr>
        <w:t xml:space="preserve">). </w:t>
      </w:r>
    </w:p>
    <w:p w:rsidR="002B0372" w:rsidRPr="005E2646" w:rsidRDefault="002B0372" w:rsidP="002B0372">
      <w:pPr>
        <w:pStyle w:val="ad"/>
        <w:tabs>
          <w:tab w:val="left" w:pos="369"/>
        </w:tabs>
        <w:bidi/>
        <w:spacing w:after="240" w:line="360" w:lineRule="auto"/>
        <w:ind w:left="369"/>
        <w:jc w:val="both"/>
        <w:rPr>
          <w:rFonts w:ascii="David" w:hAnsi="David" w:cs="David"/>
          <w:color w:val="000000"/>
        </w:rPr>
      </w:pPr>
    </w:p>
    <w:p w:rsidR="002B0372" w:rsidRPr="005E2646" w:rsidRDefault="002B0372" w:rsidP="002B0372">
      <w:pPr>
        <w:pStyle w:val="ad"/>
        <w:numPr>
          <w:ilvl w:val="0"/>
          <w:numId w:val="7"/>
        </w:numPr>
        <w:tabs>
          <w:tab w:val="left" w:pos="369"/>
        </w:tabs>
        <w:bidi/>
        <w:spacing w:after="240" w:line="360" w:lineRule="auto"/>
        <w:ind w:left="369"/>
        <w:jc w:val="both"/>
        <w:rPr>
          <w:rFonts w:ascii="David" w:hAnsi="David" w:cs="David"/>
          <w:color w:val="000000"/>
        </w:rPr>
      </w:pPr>
      <w:r w:rsidRPr="005E2646">
        <w:rPr>
          <w:rFonts w:ascii="David" w:hAnsi="David" w:cs="David"/>
          <w:color w:val="000000"/>
          <w:rtl/>
        </w:rPr>
        <w:t>משכך, אף לטעמי, דין הערעור להידחות.</w:t>
      </w:r>
      <w:r w:rsidRPr="005E2646">
        <w:rPr>
          <w:rFonts w:ascii="David" w:hAnsi="David" w:cs="David"/>
          <w:color w:val="000000"/>
          <w:rtl/>
        </w:rPr>
        <w:tab/>
      </w:r>
    </w:p>
    <w:tbl>
      <w:tblPr>
        <w:tblStyle w:val="a9"/>
        <w:tblpPr w:leftFromText="180" w:rightFromText="180" w:vertAnchor="text" w:horzAnchor="margin" w:tblpY="6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2B0372" w:rsidRPr="00916A9C" w:rsidTr="00493D26">
        <w:tc>
          <w:tcPr>
            <w:tcW w:w="2919" w:type="dxa"/>
            <w:tcBorders>
              <w:top w:val="nil"/>
              <w:left w:val="nil"/>
              <w:bottom w:val="single" w:sz="4" w:space="0" w:color="auto"/>
              <w:right w:val="nil"/>
            </w:tcBorders>
            <w:vAlign w:val="center"/>
          </w:tcPr>
          <w:p w:rsidR="002B0372" w:rsidRPr="00916A9C" w:rsidRDefault="002B0372" w:rsidP="00493D26">
            <w:pPr>
              <w:jc w:val="center"/>
              <w:rPr>
                <w:rFonts w:ascii="Courier New" w:hAnsi="Courier New"/>
                <w:b/>
                <w:bCs/>
              </w:rPr>
            </w:pPr>
            <w:r>
              <w:drawing>
                <wp:inline distT="0" distB="0" distL="0" distR="0" wp14:anchorId="2F4D2CBA" wp14:editId="3EB9A706">
                  <wp:extent cx="1000125" cy="542925"/>
                  <wp:effectExtent l="0" t="0" r="9525"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blip>
                          <a:stretch>
                            <a:fillRect/>
                          </a:stretch>
                        </pic:blipFill>
                        <pic:spPr>
                          <a:xfrm>
                            <a:off x="0" y="0"/>
                            <a:ext cx="1000125" cy="542925"/>
                          </a:xfrm>
                          <a:prstGeom prst="rect">
                            <a:avLst/>
                          </a:prstGeom>
                        </pic:spPr>
                      </pic:pic>
                    </a:graphicData>
                  </a:graphic>
                </wp:inline>
              </w:drawing>
            </w:r>
          </w:p>
        </w:tc>
      </w:tr>
      <w:tr w:rsidR="002B0372" w:rsidRPr="00916A9C" w:rsidTr="00493D26">
        <w:tc>
          <w:tcPr>
            <w:tcW w:w="2919" w:type="dxa"/>
            <w:tcBorders>
              <w:top w:val="single" w:sz="4" w:space="0" w:color="auto"/>
              <w:left w:val="nil"/>
              <w:bottom w:val="nil"/>
              <w:right w:val="nil"/>
            </w:tcBorders>
            <w:vAlign w:val="bottom"/>
          </w:tcPr>
          <w:p w:rsidR="002B0372" w:rsidRPr="00916A9C" w:rsidRDefault="00E2619B" w:rsidP="00493D26">
            <w:pPr>
              <w:jc w:val="center"/>
              <w:rPr>
                <w:rFonts w:ascii="Courier New" w:hAnsi="Courier New"/>
                <w:b/>
                <w:bCs/>
                <w:rtl/>
              </w:rPr>
            </w:pPr>
            <w:sdt>
              <w:sdtPr>
                <w:rPr>
                  <w:rFonts w:ascii="Courier New" w:hAnsi="Courier New"/>
                  <w:b/>
                  <w:bCs/>
                  <w:rtl/>
                </w:rPr>
                <w:alias w:val="2141"/>
                <w:tag w:val="2141"/>
                <w:id w:val="-338320284"/>
                <w:placeholder>
                  <w:docPart w:val="011E6C119652479EABA092C4CEBD7AE4"/>
                </w:placeholder>
                <w:text w:multiLine="1"/>
              </w:sdtPr>
              <w:sdtEndPr/>
              <w:sdtContent>
                <w:r w:rsidR="002B0372" w:rsidRPr="003857A5">
                  <w:rPr>
                    <w:rFonts w:ascii="Courier New" w:hAnsi="Courier New"/>
                    <w:b/>
                    <w:bCs/>
                    <w:rtl/>
                  </w:rPr>
                  <w:t>עידית</w:t>
                </w:r>
              </w:sdtContent>
            </w:sdt>
            <w:r w:rsidR="002B0372" w:rsidRPr="003857A5">
              <w:rPr>
                <w:rFonts w:ascii="Courier New" w:hAnsi="Courier New"/>
                <w:b/>
                <w:bCs/>
                <w:rtl/>
              </w:rPr>
              <w:t xml:space="preserve"> </w:t>
            </w:r>
            <w:sdt>
              <w:sdtPr>
                <w:rPr>
                  <w:rFonts w:ascii="Courier New" w:hAnsi="Courier New"/>
                  <w:b/>
                  <w:bCs/>
                  <w:rtl/>
                </w:rPr>
                <w:alias w:val="2142"/>
                <w:tag w:val="2142"/>
                <w:id w:val="-457191091"/>
                <w:placeholder>
                  <w:docPart w:val="AAA515285ECE46019EB669A8826221F0"/>
                </w:placeholder>
                <w:text w:multiLine="1"/>
              </w:sdtPr>
              <w:sdtEndPr/>
              <w:sdtContent>
                <w:r w:rsidR="002B0372" w:rsidRPr="003857A5">
                  <w:rPr>
                    <w:rFonts w:ascii="Courier New" w:hAnsi="Courier New"/>
                    <w:b/>
                    <w:bCs/>
                    <w:rtl/>
                  </w:rPr>
                  <w:t>ברקוביץ</w:t>
                </w:r>
              </w:sdtContent>
            </w:sdt>
            <w:r w:rsidR="002B0372">
              <w:rPr>
                <w:rFonts w:ascii="Courier New" w:hAnsi="Courier New"/>
                <w:b/>
                <w:bCs/>
                <w:rtl/>
              </w:rPr>
              <w:t>, שופט</w:t>
            </w:r>
            <w:r w:rsidR="002B0372">
              <w:rPr>
                <w:rFonts w:ascii="Courier New" w:hAnsi="Courier New" w:hint="cs"/>
                <w:b/>
                <w:bCs/>
                <w:rtl/>
              </w:rPr>
              <w:t>ת</w:t>
            </w:r>
          </w:p>
          <w:p w:rsidR="002B0372" w:rsidRPr="00916A9C" w:rsidRDefault="002B0372" w:rsidP="00493D26">
            <w:pPr>
              <w:jc w:val="center"/>
              <w:rPr>
                <w:rFonts w:ascii="Courier New" w:hAnsi="Courier New"/>
                <w:b/>
                <w:bCs/>
              </w:rPr>
            </w:pPr>
          </w:p>
        </w:tc>
      </w:tr>
    </w:tbl>
    <w:p w:rsidR="002B0372" w:rsidRDefault="002B0372" w:rsidP="002B0372">
      <w:pPr>
        <w:rPr>
          <w:rtl/>
        </w:rPr>
      </w:pPr>
    </w:p>
    <w:p w:rsidR="002B0372" w:rsidRDefault="002B0372" w:rsidP="002B0372">
      <w:pPr>
        <w:rPr>
          <w:rtl/>
        </w:rPr>
      </w:pPr>
    </w:p>
    <w:p w:rsidR="002B0372" w:rsidRDefault="002B0372" w:rsidP="002B0372">
      <w:pPr>
        <w:rPr>
          <w:rtl/>
        </w:rPr>
      </w:pPr>
    </w:p>
    <w:p w:rsidR="002B0372" w:rsidRDefault="002B0372" w:rsidP="002B0372">
      <w:pPr>
        <w:rPr>
          <w:rtl/>
        </w:rPr>
      </w:pPr>
    </w:p>
    <w:p w:rsidR="002B0372" w:rsidRPr="003A3B41" w:rsidRDefault="002B0372" w:rsidP="002B0372"/>
    <w:p w:rsidR="00CC2018" w:rsidRDefault="00CC2018" w:rsidP="00CC2018">
      <w:pPr>
        <w:spacing w:line="360" w:lineRule="auto"/>
        <w:jc w:val="both"/>
        <w:rPr>
          <w:rFonts w:ascii="Arial" w:hAnsi="Arial"/>
          <w:b/>
          <w:bCs/>
          <w:noProof w:val="0"/>
          <w:u w:val="single"/>
          <w:rtl/>
        </w:rPr>
      </w:pPr>
    </w:p>
    <w:p w:rsidR="000D5854" w:rsidRPr="00CC2018" w:rsidRDefault="000D5854" w:rsidP="00CC2018">
      <w:pPr>
        <w:spacing w:line="360" w:lineRule="auto"/>
        <w:jc w:val="both"/>
        <w:rPr>
          <w:rFonts w:ascii="Arial" w:hAnsi="Arial"/>
          <w:b/>
          <w:bCs/>
          <w:noProof w:val="0"/>
          <w:u w:val="single"/>
          <w:rtl/>
        </w:rPr>
      </w:pPr>
      <w:r w:rsidRPr="000D5854">
        <w:rPr>
          <w:rFonts w:ascii="Arial" w:hAnsi="Arial" w:hint="cs"/>
          <w:b/>
          <w:bCs/>
          <w:noProof w:val="0"/>
          <w:u w:val="single"/>
          <w:rtl/>
        </w:rPr>
        <w:lastRenderedPageBreak/>
        <w:t>השופט י. אטדגי, אב"ד</w:t>
      </w:r>
      <w:r>
        <w:rPr>
          <w:rFonts w:ascii="Arial" w:hAnsi="Arial" w:hint="cs"/>
          <w:noProof w:val="0"/>
          <w:rtl/>
        </w:rPr>
        <w:t>:</w:t>
      </w:r>
      <w:r w:rsidR="00CC2018">
        <w:rPr>
          <w:rFonts w:ascii="Arial" w:hAnsi="Arial" w:hint="cs"/>
          <w:noProof w:val="0"/>
          <w:rtl/>
        </w:rPr>
        <w:t xml:space="preserve"> </w:t>
      </w:r>
    </w:p>
    <w:p w:rsidR="00CC2018" w:rsidRDefault="00CC2018" w:rsidP="00CC2018">
      <w:pPr>
        <w:pStyle w:val="ad"/>
        <w:numPr>
          <w:ilvl w:val="0"/>
          <w:numId w:val="5"/>
        </w:numPr>
        <w:tabs>
          <w:tab w:val="left" w:pos="369"/>
        </w:tabs>
        <w:bidi/>
        <w:spacing w:after="240" w:line="360" w:lineRule="auto"/>
        <w:ind w:left="369"/>
        <w:jc w:val="both"/>
        <w:rPr>
          <w:rFonts w:ascii="David" w:hAnsi="David" w:cs="David"/>
        </w:rPr>
      </w:pPr>
      <w:r>
        <w:rPr>
          <w:rFonts w:ascii="David" w:hAnsi="David" w:cs="David"/>
          <w:rtl/>
        </w:rPr>
        <w:t>אני מסכים עם מסקנת</w:t>
      </w:r>
      <w:r>
        <w:rPr>
          <w:rFonts w:ascii="David" w:hAnsi="David" w:cs="David" w:hint="cs"/>
          <w:rtl/>
        </w:rPr>
        <w:t>ן</w:t>
      </w:r>
      <w:r>
        <w:rPr>
          <w:rFonts w:ascii="David" w:hAnsi="David" w:cs="David"/>
          <w:rtl/>
        </w:rPr>
        <w:t xml:space="preserve"> של חבר</w:t>
      </w:r>
      <w:r>
        <w:rPr>
          <w:rFonts w:ascii="David" w:hAnsi="David" w:cs="David" w:hint="cs"/>
          <w:rtl/>
        </w:rPr>
        <w:t>ו</w:t>
      </w:r>
      <w:r>
        <w:rPr>
          <w:rFonts w:ascii="David" w:hAnsi="David" w:cs="David"/>
          <w:rtl/>
        </w:rPr>
        <w:t xml:space="preserve">תי, כי דין הערעור להידחות, אך דרכי שונה. </w:t>
      </w:r>
    </w:p>
    <w:p w:rsidR="00CC2018" w:rsidRDefault="00CC2018" w:rsidP="00CC2018">
      <w:pPr>
        <w:pStyle w:val="ad"/>
        <w:bidi/>
        <w:spacing w:line="360" w:lineRule="auto"/>
        <w:ind w:left="368"/>
        <w:jc w:val="both"/>
        <w:rPr>
          <w:rFonts w:ascii="David" w:hAnsi="David" w:cs="David"/>
        </w:rPr>
      </w:pPr>
    </w:p>
    <w:p w:rsidR="00CC2018" w:rsidRDefault="00CC2018" w:rsidP="00CC2018">
      <w:pPr>
        <w:pStyle w:val="ad"/>
        <w:numPr>
          <w:ilvl w:val="0"/>
          <w:numId w:val="5"/>
        </w:numPr>
        <w:tabs>
          <w:tab w:val="left" w:pos="369"/>
        </w:tabs>
        <w:bidi/>
        <w:spacing w:after="240" w:line="360" w:lineRule="auto"/>
        <w:ind w:left="369"/>
        <w:jc w:val="both"/>
        <w:rPr>
          <w:rFonts w:ascii="David" w:hAnsi="David" w:cs="David"/>
        </w:rPr>
      </w:pPr>
      <w:r>
        <w:rPr>
          <w:rFonts w:ascii="David" w:hAnsi="David" w:cs="David"/>
          <w:rtl/>
        </w:rPr>
        <w:t xml:space="preserve">הדבר המייחד את המקרה דנן מ"מקרי הקצה" (כביטוייה של כב' השופטת ברק-ארז בעניין </w:t>
      </w:r>
      <w:r>
        <w:rPr>
          <w:rFonts w:ascii="David" w:hAnsi="David" w:cs="David"/>
          <w:b/>
          <w:bCs/>
          <w:rtl/>
        </w:rPr>
        <w:t>מזרחי</w:t>
      </w:r>
      <w:r>
        <w:rPr>
          <w:rFonts w:ascii="David" w:hAnsi="David" w:cs="David"/>
          <w:rtl/>
        </w:rPr>
        <w:t xml:space="preserve">), שנדונו בפסיקה, הוא שבענייננו נתן המערער למשיבות התחייבות מפורשת לחתום על הסכם תיווך, לכשיימצא הקונה המתאים של הנכס. </w:t>
      </w:r>
    </w:p>
    <w:p w:rsidR="00CC2018" w:rsidRDefault="00CC2018" w:rsidP="00CC2018">
      <w:pPr>
        <w:pStyle w:val="ad"/>
        <w:bidi/>
        <w:spacing w:line="360" w:lineRule="auto"/>
        <w:ind w:left="368"/>
        <w:jc w:val="both"/>
        <w:rPr>
          <w:rFonts w:ascii="David" w:hAnsi="David" w:cs="David"/>
        </w:rPr>
      </w:pPr>
      <w:r>
        <w:rPr>
          <w:rFonts w:ascii="David" w:hAnsi="David" w:cs="David"/>
          <w:rtl/>
        </w:rPr>
        <w:t>כך קבע בית המשפט בפסק דינו: "</w:t>
      </w:r>
      <w:r>
        <w:rPr>
          <w:rFonts w:ascii="David" w:hAnsi="David" w:cs="David"/>
          <w:b/>
          <w:bCs/>
          <w:rtl/>
        </w:rPr>
        <w:t>ביום 8.8.21, זמן קצר לפי [</w:t>
      </w:r>
      <w:r>
        <w:rPr>
          <w:rFonts w:ascii="David" w:hAnsi="David" w:cs="David"/>
          <w:rtl/>
        </w:rPr>
        <w:t>צ"ל: לפני</w:t>
      </w:r>
      <w:r>
        <w:rPr>
          <w:rFonts w:ascii="David" w:hAnsi="David" w:cs="David"/>
          <w:b/>
          <w:bCs/>
          <w:rtl/>
        </w:rPr>
        <w:t xml:space="preserve">] שנחתם הסכם המכר, חנה </w:t>
      </w:r>
      <w:r>
        <w:rPr>
          <w:rFonts w:ascii="David" w:hAnsi="David" w:cs="David"/>
          <w:rtl/>
        </w:rPr>
        <w:t>[המשיבה 1]</w:t>
      </w:r>
      <w:r>
        <w:rPr>
          <w:rFonts w:ascii="David" w:hAnsi="David" w:cs="David"/>
          <w:b/>
          <w:bCs/>
          <w:rtl/>
        </w:rPr>
        <w:t xml:space="preserve"> ביקשה מהנתבע, "תודיע לי שיש יום חתימה שנוכל לבוא". הנתבע השיב "ברור. אני הבטחתי לחתום</w:t>
      </w:r>
      <w:r>
        <w:rPr>
          <w:rFonts w:ascii="David" w:hAnsi="David" w:cs="David"/>
          <w:rtl/>
        </w:rPr>
        <w:t>"." (סעיף 3 סיפא לפסק הדין); "</w:t>
      </w:r>
      <w:r>
        <w:rPr>
          <w:rFonts w:ascii="David" w:hAnsi="David" w:cs="David"/>
          <w:b/>
          <w:bCs/>
          <w:rtl/>
        </w:rPr>
        <w:t xml:space="preserve">אני מאמין לעדויותיהן של התובעות לפיהן הנתבע הבטיח להם לחתום על הסכם תיווך כאשר יימצא הקונה. אלא שהנתבע הפר התחייבות זו, הסתיר מהתובעות את הזמן והמקום שנקבעו לחתימת החוזה ולאחר שביררו זאת בכוחות עצמן דרש שהתובעות לא תגענה. אירה </w:t>
      </w:r>
      <w:r>
        <w:rPr>
          <w:rFonts w:ascii="David" w:hAnsi="David" w:cs="David"/>
          <w:rtl/>
        </w:rPr>
        <w:t>[המשיבה</w:t>
      </w:r>
      <w:r>
        <w:rPr>
          <w:rFonts w:ascii="David" w:hAnsi="David" w:cs="David"/>
          <w:b/>
          <w:bCs/>
          <w:rtl/>
        </w:rPr>
        <w:t xml:space="preserve"> </w:t>
      </w:r>
      <w:r>
        <w:rPr>
          <w:rFonts w:ascii="David" w:hAnsi="David" w:cs="David"/>
          <w:rtl/>
        </w:rPr>
        <w:t>2]</w:t>
      </w:r>
      <w:r>
        <w:rPr>
          <w:rFonts w:ascii="David" w:hAnsi="David" w:cs="David"/>
          <w:b/>
          <w:bCs/>
          <w:rtl/>
        </w:rPr>
        <w:t xml:space="preserve"> הגיעה למקום ונאלצה לעזוב אותו בבושת פנים לפי דרישת</w:t>
      </w:r>
      <w:r>
        <w:rPr>
          <w:rFonts w:ascii="David" w:hAnsi="David" w:cs="David"/>
          <w:rtl/>
        </w:rPr>
        <w:t xml:space="preserve"> </w:t>
      </w:r>
      <w:r>
        <w:rPr>
          <w:rFonts w:ascii="David" w:hAnsi="David" w:cs="David"/>
          <w:b/>
          <w:bCs/>
          <w:rtl/>
        </w:rPr>
        <w:t>הנתבע</w:t>
      </w:r>
      <w:r>
        <w:rPr>
          <w:rFonts w:ascii="David" w:hAnsi="David" w:cs="David"/>
          <w:rtl/>
        </w:rPr>
        <w:t xml:space="preserve">." (סעיף 19 לפסק הדין) </w:t>
      </w:r>
    </w:p>
    <w:p w:rsidR="00CC2018" w:rsidRDefault="00CC2018" w:rsidP="00CC2018">
      <w:pPr>
        <w:pStyle w:val="ad"/>
        <w:bidi/>
        <w:spacing w:line="360" w:lineRule="auto"/>
        <w:ind w:left="368"/>
        <w:jc w:val="both"/>
        <w:rPr>
          <w:rFonts w:ascii="David" w:hAnsi="David" w:cs="David"/>
          <w:rtl/>
        </w:rPr>
      </w:pPr>
      <w:r>
        <w:rPr>
          <w:rFonts w:ascii="David" w:hAnsi="David" w:cs="David"/>
          <w:rtl/>
        </w:rPr>
        <w:t xml:space="preserve">המדובר בקביעות שבעובדה ושבמהימנות, שבהן, כידוע, ערכאת הערעור ממעטת מאוד להתערב, ולא מצאתי הצדקה להתערב בהן. </w:t>
      </w:r>
    </w:p>
    <w:p w:rsidR="00CC2018" w:rsidRDefault="00CC2018" w:rsidP="00CC2018">
      <w:pPr>
        <w:pStyle w:val="ad"/>
        <w:bidi/>
        <w:spacing w:line="360" w:lineRule="auto"/>
        <w:ind w:left="368"/>
        <w:jc w:val="both"/>
        <w:rPr>
          <w:rFonts w:ascii="David" w:hAnsi="David" w:cs="David"/>
          <w:rtl/>
        </w:rPr>
      </w:pPr>
      <w:r>
        <w:rPr>
          <w:rFonts w:ascii="David" w:hAnsi="David" w:cs="David"/>
          <w:rtl/>
        </w:rPr>
        <w:t xml:space="preserve"> </w:t>
      </w:r>
    </w:p>
    <w:p w:rsidR="00CC2018" w:rsidRDefault="00CC2018" w:rsidP="00CC2018">
      <w:pPr>
        <w:pStyle w:val="ad"/>
        <w:numPr>
          <w:ilvl w:val="0"/>
          <w:numId w:val="5"/>
        </w:numPr>
        <w:tabs>
          <w:tab w:val="left" w:pos="369"/>
        </w:tabs>
        <w:bidi/>
        <w:spacing w:after="240" w:line="360" w:lineRule="auto"/>
        <w:ind w:left="369"/>
        <w:jc w:val="both"/>
        <w:rPr>
          <w:rFonts w:ascii="David" w:hAnsi="David" w:cs="David"/>
        </w:rPr>
      </w:pPr>
      <w:r>
        <w:rPr>
          <w:rFonts w:ascii="David" w:hAnsi="David" w:cs="David"/>
          <w:rtl/>
        </w:rPr>
        <w:t>גם המערער וגם המשיבות היו מודעים ל</w:t>
      </w:r>
      <w:r>
        <w:rPr>
          <w:rFonts w:ascii="David" w:hAnsi="David" w:cs="David"/>
          <w:b/>
          <w:bCs/>
          <w:rtl/>
        </w:rPr>
        <w:t>חוק המתווכים</w:t>
      </w:r>
      <w:r>
        <w:rPr>
          <w:rFonts w:ascii="David" w:hAnsi="David" w:cs="David"/>
          <w:rtl/>
        </w:rPr>
        <w:t xml:space="preserve">, לפיו לא ניתן לחייב בתשלום דמי תיווך ללא הסכם תיווך כתוב וחתום. משום כך, המשיבות דרשו מהמערער לחתום על הסכם תיווך, ומשום כך המערער התחייב כלפיהן לעשות כן. </w:t>
      </w:r>
    </w:p>
    <w:p w:rsidR="00CC2018" w:rsidRDefault="00CC2018" w:rsidP="00CC2018">
      <w:pPr>
        <w:pStyle w:val="ad"/>
        <w:bidi/>
        <w:spacing w:line="360" w:lineRule="auto"/>
        <w:ind w:left="368"/>
        <w:jc w:val="both"/>
        <w:rPr>
          <w:rFonts w:ascii="David" w:hAnsi="David" w:cs="David"/>
        </w:rPr>
      </w:pPr>
      <w:r>
        <w:rPr>
          <w:rFonts w:ascii="David" w:hAnsi="David" w:cs="David"/>
          <w:rtl/>
        </w:rPr>
        <w:t>בכך שונה המקרה הנדון כאן מ"ממקרי הקצה" האחרים שבהם לא ניתנה התחייבות מפורשת לחתום על הסכם תיווך, אלא ניתנה התחייבות</w:t>
      </w:r>
      <w:r>
        <w:rPr>
          <w:rFonts w:ascii="David" w:hAnsi="David" w:cs="David" w:hint="cs"/>
          <w:rtl/>
        </w:rPr>
        <w:t>,</w:t>
      </w:r>
      <w:r>
        <w:rPr>
          <w:rFonts w:ascii="David" w:hAnsi="David" w:cs="David"/>
          <w:rtl/>
        </w:rPr>
        <w:t xml:space="preserve"> כזו או אחרת</w:t>
      </w:r>
      <w:r>
        <w:rPr>
          <w:rFonts w:ascii="David" w:hAnsi="David" w:cs="David" w:hint="cs"/>
          <w:rtl/>
        </w:rPr>
        <w:t xml:space="preserve">, מפורשת או משתמעת, </w:t>
      </w:r>
      <w:r>
        <w:rPr>
          <w:rFonts w:ascii="David" w:hAnsi="David" w:cs="David"/>
          <w:rtl/>
        </w:rPr>
        <w:t xml:space="preserve">לתשלום דמי תיווך. התחייבות לתשלום דמי תיווך, ללא חתימה על הסכם תיווך, כך נקבע בפסיקה, היא חסרת נפקות. לעומת זאת, התחייבות לחתום על הסכם תיווך יוצרת, לדעתי, מערכת חוזית  מחייבת נפרדת. </w:t>
      </w:r>
    </w:p>
    <w:p w:rsidR="00CC2018" w:rsidRDefault="00CC2018" w:rsidP="00CC2018">
      <w:pPr>
        <w:pStyle w:val="ad"/>
        <w:bidi/>
        <w:spacing w:line="360" w:lineRule="auto"/>
        <w:ind w:left="368"/>
        <w:jc w:val="both"/>
        <w:rPr>
          <w:rFonts w:ascii="David" w:hAnsi="David" w:cs="David"/>
          <w:rtl/>
        </w:rPr>
      </w:pPr>
      <w:r>
        <w:rPr>
          <w:rFonts w:ascii="David" w:hAnsi="David" w:cs="David"/>
          <w:rtl/>
        </w:rPr>
        <w:t xml:space="preserve">הפרתה של התחייבות זו  היא הפרה חוזית העומדת בפני עצמה. הנזק שנבע מהפרת התחייבות זו על-ידי המערער הוא הרווח שהיה צפוי למשיבות, אילו הוא היה מקיים את התחייבותו לחתום על הסכם תיווך, אזי הן היו זכאיות לקבלת סכום כספי בשיעור 2% מהתמורה. </w:t>
      </w:r>
    </w:p>
    <w:p w:rsidR="00CC2018" w:rsidRDefault="00CC2018" w:rsidP="00CC2018">
      <w:pPr>
        <w:pStyle w:val="ad"/>
        <w:bidi/>
        <w:spacing w:line="360" w:lineRule="auto"/>
        <w:ind w:left="368"/>
        <w:jc w:val="both"/>
        <w:rPr>
          <w:rFonts w:ascii="David" w:hAnsi="David" w:cs="David"/>
          <w:rtl/>
        </w:rPr>
      </w:pPr>
      <w:r>
        <w:rPr>
          <w:rFonts w:ascii="David" w:hAnsi="David" w:cs="David"/>
          <w:rtl/>
        </w:rPr>
        <w:t xml:space="preserve">המשיבות זכאיות, לפיכך, לפיצוי בשיעור זה בגין הפרת אותה התחייבות. </w:t>
      </w:r>
    </w:p>
    <w:p w:rsidR="00CC2018" w:rsidRDefault="00CC2018" w:rsidP="00CC2018">
      <w:pPr>
        <w:pStyle w:val="ad"/>
        <w:bidi/>
        <w:spacing w:line="360" w:lineRule="auto"/>
        <w:ind w:left="368"/>
        <w:jc w:val="both"/>
        <w:rPr>
          <w:rFonts w:ascii="David" w:hAnsi="David" w:cs="David"/>
          <w:rtl/>
        </w:rPr>
      </w:pPr>
    </w:p>
    <w:p w:rsidR="001A776D" w:rsidRDefault="00CC2018" w:rsidP="002B0372">
      <w:pPr>
        <w:pStyle w:val="ad"/>
        <w:numPr>
          <w:ilvl w:val="0"/>
          <w:numId w:val="5"/>
        </w:numPr>
        <w:tabs>
          <w:tab w:val="left" w:pos="369"/>
        </w:tabs>
        <w:bidi/>
        <w:spacing w:after="240" w:line="360" w:lineRule="auto"/>
        <w:ind w:left="369"/>
        <w:jc w:val="both"/>
        <w:rPr>
          <w:rFonts w:ascii="David" w:hAnsi="David" w:cs="David"/>
        </w:rPr>
      </w:pPr>
      <w:r>
        <w:rPr>
          <w:rFonts w:ascii="David" w:hAnsi="David" w:cs="David"/>
          <w:rtl/>
        </w:rPr>
        <w:t xml:space="preserve">ודוק: אין ללמוד מכך, שדי בהתחייבות לחתום על הסכם תיווך כדי לחייב בתשלום דמי תיווך, תוך וויתור על דרישת הכתב. אילו המשיבות היו מסתפקות בהתחייבות המערער ומשתפות פעולה עם המערער עד לחתימת הסכם מכר הנכס, בלי שנחתם הסכם תיווך, ודאי שהן לא היו זכאיות לתשלום דמי תיווך, משום שהן היו מפרות בעצמן את דרישת </w:t>
      </w:r>
      <w:r>
        <w:rPr>
          <w:rFonts w:ascii="David" w:hAnsi="David" w:cs="David"/>
          <w:b/>
          <w:bCs/>
          <w:rtl/>
        </w:rPr>
        <w:t>חוק המתווכים</w:t>
      </w:r>
      <w:r>
        <w:rPr>
          <w:rFonts w:ascii="David" w:hAnsi="David" w:cs="David"/>
          <w:rtl/>
        </w:rPr>
        <w:t xml:space="preserve">, אך </w:t>
      </w:r>
      <w:r>
        <w:rPr>
          <w:rFonts w:ascii="David" w:hAnsi="David" w:cs="David"/>
          <w:rtl/>
        </w:rPr>
        <w:lastRenderedPageBreak/>
        <w:t xml:space="preserve">בענייננו המתינו המשיבות, על-פי המוסכם עם המערער, עד למעמד החתימה עם קונה הדירה, אזי היה על המערער לחתום על הסכם התיווך לפני חתימת חוזה מכר הדירה, ובכך לקיים את דרישת </w:t>
      </w:r>
      <w:r>
        <w:rPr>
          <w:rFonts w:ascii="David" w:hAnsi="David" w:cs="David"/>
          <w:b/>
          <w:bCs/>
          <w:rtl/>
        </w:rPr>
        <w:t>חוק המתווכים</w:t>
      </w:r>
      <w:r>
        <w:rPr>
          <w:rFonts w:ascii="David" w:hAnsi="David" w:cs="David"/>
          <w:rtl/>
        </w:rPr>
        <w:t xml:space="preserve">. אלא שהמערער, כפי שנקבע וכפי שתואר בפסק הדין הסתיר מהמשיבות את מעמד חתימת חוזה המכר, משזה נודע להן דרש מהן שלא להגיע אליו, והוא אף מנע מאחת מהן להיכנס למקום שבו הוא נחתם, ובכך הוא מנע את קיום התנאי הנדרש על-פי </w:t>
      </w:r>
      <w:r>
        <w:rPr>
          <w:rFonts w:ascii="David" w:hAnsi="David" w:cs="David"/>
          <w:b/>
          <w:bCs/>
          <w:rtl/>
        </w:rPr>
        <w:t>חוק המתווכים</w:t>
      </w:r>
      <w:r>
        <w:rPr>
          <w:rFonts w:ascii="David" w:hAnsi="David" w:cs="David"/>
          <w:rtl/>
        </w:rPr>
        <w:t xml:space="preserve">. מדובר, לכן, בהפרה חד-צדדית ובוטה של ההתחייבות שניתנה, המהווה לדעתי הפרה חוזית המצדיקה תשלום פיצוי כאמור. </w:t>
      </w:r>
    </w:p>
    <w:p w:rsidR="002B0372" w:rsidRPr="002B0372" w:rsidRDefault="002B0372" w:rsidP="002B0372">
      <w:pPr>
        <w:pStyle w:val="ad"/>
        <w:tabs>
          <w:tab w:val="left" w:pos="369"/>
        </w:tabs>
        <w:bidi/>
        <w:spacing w:after="240" w:line="360" w:lineRule="auto"/>
        <w:ind w:left="369"/>
        <w:jc w:val="both"/>
        <w:rPr>
          <w:rFonts w:ascii="David" w:hAnsi="David" w:cs="David"/>
        </w:rPr>
      </w:pPr>
    </w:p>
    <w:p w:rsidR="00CC2018" w:rsidRDefault="00CC2018" w:rsidP="00CC2018">
      <w:pPr>
        <w:pStyle w:val="ad"/>
        <w:numPr>
          <w:ilvl w:val="0"/>
          <w:numId w:val="5"/>
        </w:numPr>
        <w:tabs>
          <w:tab w:val="left" w:pos="369"/>
        </w:tabs>
        <w:bidi/>
        <w:spacing w:after="240" w:line="360" w:lineRule="auto"/>
        <w:ind w:left="369"/>
        <w:jc w:val="both"/>
        <w:rPr>
          <w:rFonts w:ascii="David" w:hAnsi="David" w:cs="David"/>
        </w:rPr>
      </w:pPr>
      <w:r>
        <w:rPr>
          <w:rFonts w:ascii="David" w:hAnsi="David" w:cs="David"/>
          <w:rtl/>
        </w:rPr>
        <w:t>מהטעם האמור, אני מצטרף, כאמור, למסקנת</w:t>
      </w:r>
      <w:r>
        <w:rPr>
          <w:rFonts w:ascii="David" w:hAnsi="David" w:cs="David" w:hint="cs"/>
          <w:rtl/>
        </w:rPr>
        <w:t>ן</w:t>
      </w:r>
      <w:r>
        <w:rPr>
          <w:rFonts w:ascii="David" w:hAnsi="David" w:cs="David"/>
          <w:rtl/>
        </w:rPr>
        <w:t xml:space="preserve"> של חבר</w:t>
      </w:r>
      <w:r>
        <w:rPr>
          <w:rFonts w:ascii="David" w:hAnsi="David" w:cs="David" w:hint="cs"/>
          <w:rtl/>
        </w:rPr>
        <w:t>ו</w:t>
      </w:r>
      <w:r>
        <w:rPr>
          <w:rFonts w:ascii="David" w:hAnsi="David" w:cs="David"/>
          <w:rtl/>
        </w:rPr>
        <w:t>תי</w:t>
      </w:r>
      <w:r>
        <w:rPr>
          <w:rFonts w:ascii="David" w:hAnsi="David" w:cs="David" w:hint="cs"/>
          <w:rtl/>
        </w:rPr>
        <w:t>י</w:t>
      </w:r>
      <w:r>
        <w:rPr>
          <w:rFonts w:ascii="David" w:hAnsi="David" w:cs="David"/>
          <w:rtl/>
        </w:rPr>
        <w:t xml:space="preserve">, לדחיית הערעור ולחיוב המערער בהוצאות כמוצע. </w:t>
      </w:r>
    </w:p>
    <w:tbl>
      <w:tblPr>
        <w:tblStyle w:val="a9"/>
        <w:tblpPr w:leftFromText="180" w:rightFromText="180" w:vertAnchor="text" w:horzAnchor="margin" w:tblpY="3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70"/>
      </w:tblGrid>
      <w:tr w:rsidR="001A776D" w:rsidRPr="00916A9C" w:rsidTr="001A776D">
        <w:trPr>
          <w:trHeight w:val="1610"/>
        </w:trPr>
        <w:tc>
          <w:tcPr>
            <w:tcW w:w="3170" w:type="dxa"/>
            <w:tcBorders>
              <w:top w:val="nil"/>
              <w:left w:val="nil"/>
              <w:bottom w:val="single" w:sz="4" w:space="0" w:color="auto"/>
              <w:right w:val="nil"/>
            </w:tcBorders>
            <w:vAlign w:val="center"/>
          </w:tcPr>
          <w:p w:rsidR="001A776D" w:rsidRPr="00916A9C" w:rsidRDefault="001A776D" w:rsidP="001A776D">
            <w:pPr>
              <w:rPr>
                <w:rFonts w:ascii="Courier New" w:hAnsi="Courier New"/>
                <w:b/>
                <w:bCs/>
              </w:rPr>
            </w:pPr>
            <w:r>
              <w:drawing>
                <wp:anchor distT="0" distB="0" distL="114300" distR="114300" simplePos="0" relativeHeight="251659264" behindDoc="0" locked="0" layoutInCell="1" allowOverlap="1" wp14:anchorId="569CDDE6" wp14:editId="5AF9AA94">
                  <wp:simplePos x="0" y="0"/>
                  <wp:positionH relativeFrom="column">
                    <wp:posOffset>32385</wp:posOffset>
                  </wp:positionH>
                  <wp:positionV relativeFrom="paragraph">
                    <wp:posOffset>1905</wp:posOffset>
                  </wp:positionV>
                  <wp:extent cx="1509395" cy="933450"/>
                  <wp:effectExtent l="0" t="0" r="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A776D" w:rsidRPr="00916A9C" w:rsidTr="001A776D">
        <w:trPr>
          <w:trHeight w:val="429"/>
        </w:trPr>
        <w:tc>
          <w:tcPr>
            <w:tcW w:w="3170" w:type="dxa"/>
            <w:tcBorders>
              <w:top w:val="single" w:sz="4" w:space="0" w:color="auto"/>
              <w:left w:val="nil"/>
              <w:bottom w:val="nil"/>
              <w:right w:val="nil"/>
            </w:tcBorders>
            <w:vAlign w:val="bottom"/>
          </w:tcPr>
          <w:p w:rsidR="001A776D" w:rsidRPr="00916A9C" w:rsidRDefault="001A776D" w:rsidP="001A776D">
            <w:pPr>
              <w:jc w:val="center"/>
              <w:rPr>
                <w:rFonts w:ascii="Courier New" w:hAnsi="Courier New"/>
                <w:b/>
                <w:bCs/>
                <w:rtl/>
              </w:rPr>
            </w:pPr>
            <w:r>
              <w:rPr>
                <w:rFonts w:ascii="Courier New" w:hAnsi="Courier New"/>
                <w:b/>
                <w:bCs/>
                <w:rtl/>
              </w:rPr>
              <w:t>יונה אטדגי, שופט</w:t>
            </w:r>
          </w:p>
          <w:p w:rsidR="001A776D" w:rsidRPr="00916A9C" w:rsidRDefault="001A776D" w:rsidP="001A776D">
            <w:pPr>
              <w:jc w:val="center"/>
              <w:rPr>
                <w:rFonts w:ascii="Courier New" w:hAnsi="Courier New"/>
                <w:b/>
                <w:bCs/>
              </w:rPr>
            </w:pPr>
          </w:p>
        </w:tc>
      </w:tr>
    </w:tbl>
    <w:p w:rsidR="00C45D93" w:rsidRDefault="00C45D93" w:rsidP="006C47A9">
      <w:pPr>
        <w:rPr>
          <w:rtl/>
        </w:rPr>
      </w:pPr>
    </w:p>
    <w:p w:rsidR="00C45D93" w:rsidRDefault="00C45D93" w:rsidP="006C47A9">
      <w:pPr>
        <w:rPr>
          <w:rtl/>
        </w:rPr>
      </w:pPr>
    </w:p>
    <w:p w:rsidR="00C45D93" w:rsidRDefault="00C45D93" w:rsidP="006C47A9">
      <w:pPr>
        <w:rPr>
          <w:rtl/>
        </w:rPr>
      </w:pPr>
    </w:p>
    <w:p w:rsidR="00C45D93" w:rsidRDefault="00C45D93" w:rsidP="006C47A9">
      <w:pPr>
        <w:rPr>
          <w:rtl/>
        </w:rPr>
      </w:pPr>
    </w:p>
    <w:p w:rsidR="00C45D93" w:rsidRPr="003A3B41" w:rsidRDefault="00C45D93" w:rsidP="006C47A9"/>
    <w:p w:rsidR="00C45D93" w:rsidRDefault="00C45D93"/>
    <w:p w:rsidR="006C1CD0" w:rsidRDefault="006C1CD0" w:rsidP="005E2646">
      <w:pPr>
        <w:spacing w:line="360" w:lineRule="auto"/>
        <w:jc w:val="both"/>
        <w:rPr>
          <w:rFonts w:ascii="Arial" w:hAnsi="Arial"/>
          <w:b/>
          <w:bCs/>
          <w:noProof w:val="0"/>
          <w:u w:val="single"/>
          <w:rtl/>
        </w:rPr>
      </w:pPr>
    </w:p>
    <w:p w:rsidR="006C1CD0" w:rsidRDefault="006C1CD0" w:rsidP="005E2646">
      <w:pPr>
        <w:spacing w:line="360" w:lineRule="auto"/>
        <w:jc w:val="both"/>
        <w:rPr>
          <w:rFonts w:ascii="Arial" w:hAnsi="Arial"/>
          <w:b/>
          <w:bCs/>
          <w:noProof w:val="0"/>
          <w:u w:val="single"/>
          <w:rtl/>
        </w:rPr>
      </w:pPr>
    </w:p>
    <w:p w:rsidR="005E2646" w:rsidRPr="005E2646" w:rsidRDefault="005E2646" w:rsidP="005E2646">
      <w:pPr>
        <w:spacing w:line="360" w:lineRule="auto"/>
        <w:jc w:val="both"/>
        <w:rPr>
          <w:rFonts w:ascii="Arial" w:hAnsi="Arial"/>
          <w:b/>
          <w:bCs/>
          <w:noProof w:val="0"/>
          <w:u w:val="single"/>
          <w:rtl/>
        </w:rPr>
      </w:pPr>
      <w:r w:rsidRPr="005E2646">
        <w:rPr>
          <w:rFonts w:ascii="Arial" w:hAnsi="Arial" w:hint="cs"/>
          <w:b/>
          <w:bCs/>
          <w:noProof w:val="0"/>
          <w:u w:val="single"/>
          <w:rtl/>
        </w:rPr>
        <w:t>תוצאה</w:t>
      </w:r>
    </w:p>
    <w:p w:rsidR="005E2646" w:rsidRDefault="005E2646" w:rsidP="005E2646">
      <w:pPr>
        <w:spacing w:line="360" w:lineRule="auto"/>
        <w:jc w:val="both"/>
        <w:rPr>
          <w:rFonts w:ascii="Arial" w:hAnsi="Arial"/>
          <w:noProof w:val="0"/>
          <w:rtl/>
        </w:rPr>
      </w:pPr>
      <w:r>
        <w:rPr>
          <w:rFonts w:ascii="Arial" w:hAnsi="Arial" w:hint="cs"/>
          <w:noProof w:val="0"/>
          <w:rtl/>
        </w:rPr>
        <w:t xml:space="preserve">הערעור נדחה. </w:t>
      </w:r>
    </w:p>
    <w:p w:rsidR="005E2646" w:rsidRDefault="005E2646" w:rsidP="005E2646">
      <w:pPr>
        <w:spacing w:line="360" w:lineRule="auto"/>
        <w:jc w:val="both"/>
        <w:rPr>
          <w:rFonts w:ascii="Arial" w:hAnsi="Arial"/>
          <w:noProof w:val="0"/>
          <w:rtl/>
        </w:rPr>
      </w:pPr>
      <w:r>
        <w:rPr>
          <w:rFonts w:ascii="Arial" w:hAnsi="Arial" w:hint="cs"/>
          <w:noProof w:val="0"/>
          <w:rtl/>
        </w:rPr>
        <w:t xml:space="preserve">המערער ישלם למשיבות הוצאות הערעור בסך 30,000 ₪. </w:t>
      </w:r>
    </w:p>
    <w:p w:rsidR="005E2646" w:rsidRDefault="005E2646" w:rsidP="005E2646">
      <w:pPr>
        <w:spacing w:line="360" w:lineRule="auto"/>
        <w:jc w:val="both"/>
        <w:rPr>
          <w:rFonts w:ascii="Arial" w:hAnsi="Arial"/>
          <w:noProof w:val="0"/>
          <w:rtl/>
        </w:rPr>
      </w:pPr>
      <w:r>
        <w:rPr>
          <w:rFonts w:ascii="Arial" w:hAnsi="Arial" w:hint="cs"/>
          <w:noProof w:val="0"/>
          <w:rtl/>
        </w:rPr>
        <w:t>המזכירות תעביר למשיבות, באמ</w:t>
      </w:r>
      <w:r w:rsidR="002B0372">
        <w:rPr>
          <w:rFonts w:ascii="Arial" w:hAnsi="Arial" w:hint="cs"/>
          <w:noProof w:val="0"/>
          <w:rtl/>
        </w:rPr>
        <w:t>צעות ב"כ, את העירבון ופירותיו, ע</w:t>
      </w:r>
      <w:r>
        <w:rPr>
          <w:rFonts w:ascii="Arial" w:hAnsi="Arial" w:hint="cs"/>
          <w:noProof w:val="0"/>
          <w:rtl/>
        </w:rPr>
        <w:t xml:space="preserve">ל חשבון ההוצאות שנפסקו. </w:t>
      </w:r>
    </w:p>
    <w:p w:rsidR="006C1CD0" w:rsidRDefault="006C1CD0">
      <w:pPr>
        <w:spacing w:line="360" w:lineRule="auto"/>
        <w:jc w:val="both"/>
        <w:rPr>
          <w:rFonts w:ascii="Arial" w:hAnsi="Arial"/>
          <w:noProof w:val="0"/>
          <w:rtl/>
        </w:rPr>
      </w:pPr>
    </w:p>
    <w:p w:rsidR="006C1CD0" w:rsidRDefault="006C1CD0">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6"/>
        <w:gridCol w:w="235"/>
        <w:gridCol w:w="2246"/>
        <w:gridCol w:w="293"/>
        <w:gridCol w:w="2607"/>
      </w:tblGrid>
      <w:tr w:rsidR="005E2646" w:rsidRPr="00BF3AE2" w:rsidTr="0090550C">
        <w:tc>
          <w:tcPr>
            <w:tcW w:w="2960" w:type="dxa"/>
            <w:tcBorders>
              <w:top w:val="nil"/>
              <w:left w:val="nil"/>
              <w:bottom w:val="single" w:sz="4" w:space="0" w:color="auto"/>
              <w:right w:val="nil"/>
            </w:tcBorders>
            <w:vAlign w:val="center"/>
          </w:tcPr>
          <w:p w:rsidR="005E2646" w:rsidRPr="00BF3AE2" w:rsidRDefault="005E2646"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5E2646" w:rsidRPr="00BF3AE2" w:rsidRDefault="005E2646"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5E2646" w:rsidRPr="00BF3AE2" w:rsidRDefault="005E2646" w:rsidP="00BF3AE2">
            <w:pPr>
              <w:jc w:val="center"/>
              <w:rPr>
                <w:rFonts w:ascii="Courier New" w:hAnsi="Courier New"/>
                <w:b/>
                <w:bCs/>
                <w:sz w:val="20"/>
                <w:szCs w:val="20"/>
                <w:rtl/>
                <w:lang w:eastAsia="he-IL"/>
              </w:rPr>
            </w:pPr>
            <w:r>
              <w:object w:dxaOrig="1605"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5pt;height:52.55pt" o:ole="">
                  <v:imagedata r:id="rId15" o:title=""/>
                </v:shape>
                <o:OLEObject Type="Embed" ProgID="PBrush" ShapeID="_x0000_i1025" DrawAspect="Content" ObjectID="_1784965928" r:id="rId16"/>
              </w:object>
            </w:r>
          </w:p>
        </w:tc>
        <w:tc>
          <w:tcPr>
            <w:tcW w:w="300" w:type="dxa"/>
            <w:vAlign w:val="center"/>
          </w:tcPr>
          <w:p w:rsidR="005E2646" w:rsidRPr="00BF3AE2" w:rsidRDefault="005E2646"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5E2646" w:rsidRPr="00BF3AE2" w:rsidRDefault="005E2646" w:rsidP="00BF3AE2">
            <w:pPr>
              <w:jc w:val="center"/>
              <w:rPr>
                <w:rFonts w:ascii="Courier New" w:hAnsi="Courier New"/>
                <w:b/>
                <w:bCs/>
                <w:sz w:val="20"/>
                <w:szCs w:val="20"/>
                <w:lang w:eastAsia="he-IL"/>
              </w:rPr>
            </w:pPr>
            <w:r>
              <w:drawing>
                <wp:inline distT="0" distB="0" distL="0" distR="0" wp14:anchorId="0F310C73" wp14:editId="67B75F1C">
                  <wp:extent cx="704850" cy="361950"/>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9" cstate="print">
                            <a:extLst/>
                          </a:blip>
                          <a:stretch>
                            <a:fillRect/>
                          </a:stretch>
                        </pic:blipFill>
                        <pic:spPr>
                          <a:xfrm>
                            <a:off x="0" y="0"/>
                            <a:ext cx="704850" cy="361950"/>
                          </a:xfrm>
                          <a:prstGeom prst="rect">
                            <a:avLst/>
                          </a:prstGeom>
                        </pic:spPr>
                      </pic:pic>
                    </a:graphicData>
                  </a:graphic>
                </wp:inline>
              </w:drawing>
            </w:r>
          </w:p>
        </w:tc>
      </w:tr>
      <w:tr w:rsidR="005E2646" w:rsidRPr="00BF3AE2" w:rsidTr="0090550C">
        <w:tc>
          <w:tcPr>
            <w:tcW w:w="2960" w:type="dxa"/>
            <w:tcBorders>
              <w:top w:val="single" w:sz="4" w:space="0" w:color="auto"/>
              <w:left w:val="nil"/>
              <w:bottom w:val="nil"/>
              <w:right w:val="nil"/>
            </w:tcBorders>
            <w:vAlign w:val="bottom"/>
          </w:tcPr>
          <w:p w:rsidR="005E2646" w:rsidRPr="00BF3AE2" w:rsidRDefault="005E2646" w:rsidP="005C6E5C">
            <w:pPr>
              <w:jc w:val="center"/>
              <w:rPr>
                <w:rFonts w:ascii="Courier New" w:hAnsi="Courier New"/>
                <w:b/>
                <w:bCs/>
                <w:rtl/>
              </w:rPr>
            </w:pPr>
            <w:r>
              <w:rPr>
                <w:rFonts w:ascii="Courier New" w:hAnsi="Courier New"/>
                <w:b/>
                <w:bCs/>
                <w:rtl/>
              </w:rPr>
              <w:t>יונה אטדגי, שופט</w:t>
            </w:r>
          </w:p>
          <w:p w:rsidR="005E2646" w:rsidRPr="00BF3AE2" w:rsidRDefault="005E2646"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5E2646" w:rsidRPr="00BF3AE2" w:rsidRDefault="005E2646"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5E2646" w:rsidRPr="00BF3AE2" w:rsidRDefault="005E2646" w:rsidP="00BF3AE2">
            <w:pPr>
              <w:jc w:val="center"/>
              <w:rPr>
                <w:rFonts w:ascii="Courier New" w:hAnsi="Courier New"/>
                <w:b/>
                <w:bCs/>
                <w:lang w:eastAsia="he-IL"/>
              </w:rPr>
            </w:pPr>
            <w:r>
              <w:rPr>
                <w:rFonts w:ascii="Courier New" w:hAnsi="Courier New" w:hint="cs"/>
                <w:b/>
                <w:bCs/>
                <w:rtl/>
                <w:lang w:eastAsia="he-IL"/>
              </w:rPr>
              <w:t>עידית ברקוביץ</w:t>
            </w:r>
            <w:r w:rsidRPr="00BF3AE2">
              <w:rPr>
                <w:rFonts w:ascii="Courier New" w:hAnsi="Courier New"/>
                <w:b/>
                <w:bCs/>
                <w:rtl/>
                <w:lang w:eastAsia="he-IL"/>
              </w:rPr>
              <w:t>, שופטת</w:t>
            </w:r>
          </w:p>
        </w:tc>
        <w:tc>
          <w:tcPr>
            <w:tcW w:w="300" w:type="dxa"/>
          </w:tcPr>
          <w:p w:rsidR="005E2646" w:rsidRPr="00BF3AE2" w:rsidRDefault="005E2646"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5E2646" w:rsidRPr="00BF3AE2" w:rsidRDefault="005E2646"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275CB266BFB6439FBA88E39E8F937F00"/>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694556" w:rsidRDefault="00694556">
      <w:pPr>
        <w:spacing w:line="360" w:lineRule="auto"/>
        <w:jc w:val="both"/>
        <w:rPr>
          <w:rFonts w:ascii="Arial" w:hAnsi="Arial"/>
          <w:noProof w:val="0"/>
          <w:rtl/>
        </w:rPr>
      </w:pPr>
    </w:p>
    <w:sectPr w:rsidR="00694556" w:rsidSect="00580FB3">
      <w:headerReference w:type="even" r:id="rId17"/>
      <w:headerReference w:type="default" r:id="rId18"/>
      <w:footerReference w:type="even" r:id="rId19"/>
      <w:footerReference w:type="default" r:id="rId20"/>
      <w:headerReference w:type="first" r:id="rId21"/>
      <w:footerReference w:type="first" r:id="rId22"/>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19B" w:rsidRDefault="00E2619B">
      <w:r>
        <w:separator/>
      </w:r>
    </w:p>
  </w:endnote>
  <w:endnote w:type="continuationSeparator" w:id="0">
    <w:p w:rsidR="00E2619B" w:rsidRDefault="00E2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E02" w:rsidRDefault="00986E0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31CA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31CA2">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E02" w:rsidRDefault="00986E0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19B" w:rsidRDefault="00E2619B">
      <w:r>
        <w:separator/>
      </w:r>
    </w:p>
  </w:footnote>
  <w:footnote w:type="continuationSeparator" w:id="0">
    <w:p w:rsidR="00E2619B" w:rsidRDefault="00E26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E02" w:rsidRDefault="00986E0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E2619B">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20847-10-23</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שגיא נ' דרעי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E02" w:rsidRDefault="00986E0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1436"/>
    <w:multiLevelType w:val="hybridMultilevel"/>
    <w:tmpl w:val="C59227FC"/>
    <w:lvl w:ilvl="0" w:tplc="0409000F">
      <w:start w:val="1"/>
      <w:numFmt w:val="decimal"/>
      <w:lvlText w:val="%1."/>
      <w:lvlJc w:val="left"/>
      <w:pPr>
        <w:ind w:left="2196" w:hanging="360"/>
      </w:pPr>
    </w:lvl>
    <w:lvl w:ilvl="1" w:tplc="04090019">
      <w:start w:val="1"/>
      <w:numFmt w:val="lowerLetter"/>
      <w:lvlText w:val="%2."/>
      <w:lvlJc w:val="left"/>
      <w:pPr>
        <w:ind w:left="2916" w:hanging="360"/>
      </w:pPr>
    </w:lvl>
    <w:lvl w:ilvl="2" w:tplc="0409001B">
      <w:start w:val="1"/>
      <w:numFmt w:val="lowerRoman"/>
      <w:lvlText w:val="%3."/>
      <w:lvlJc w:val="right"/>
      <w:pPr>
        <w:ind w:left="3636" w:hanging="180"/>
      </w:pPr>
    </w:lvl>
    <w:lvl w:ilvl="3" w:tplc="0409000F">
      <w:start w:val="1"/>
      <w:numFmt w:val="decimal"/>
      <w:lvlText w:val="%4."/>
      <w:lvlJc w:val="left"/>
      <w:pPr>
        <w:ind w:left="4356" w:hanging="360"/>
      </w:pPr>
    </w:lvl>
    <w:lvl w:ilvl="4" w:tplc="04090019">
      <w:start w:val="1"/>
      <w:numFmt w:val="lowerLetter"/>
      <w:lvlText w:val="%5."/>
      <w:lvlJc w:val="left"/>
      <w:pPr>
        <w:ind w:left="5076" w:hanging="360"/>
      </w:pPr>
    </w:lvl>
    <w:lvl w:ilvl="5" w:tplc="0409001B">
      <w:start w:val="1"/>
      <w:numFmt w:val="lowerRoman"/>
      <w:lvlText w:val="%6."/>
      <w:lvlJc w:val="right"/>
      <w:pPr>
        <w:ind w:left="5796" w:hanging="180"/>
      </w:pPr>
    </w:lvl>
    <w:lvl w:ilvl="6" w:tplc="0409000F">
      <w:start w:val="1"/>
      <w:numFmt w:val="decimal"/>
      <w:lvlText w:val="%7."/>
      <w:lvlJc w:val="left"/>
      <w:pPr>
        <w:ind w:left="6516" w:hanging="360"/>
      </w:pPr>
    </w:lvl>
    <w:lvl w:ilvl="7" w:tplc="04090019">
      <w:start w:val="1"/>
      <w:numFmt w:val="lowerLetter"/>
      <w:lvlText w:val="%8."/>
      <w:lvlJc w:val="left"/>
      <w:pPr>
        <w:ind w:left="7236" w:hanging="360"/>
      </w:pPr>
    </w:lvl>
    <w:lvl w:ilvl="8" w:tplc="0409001B">
      <w:start w:val="1"/>
      <w:numFmt w:val="lowerRoman"/>
      <w:lvlText w:val="%9."/>
      <w:lvlJc w:val="right"/>
      <w:pPr>
        <w:ind w:left="7956" w:hanging="180"/>
      </w:pPr>
    </w:lvl>
  </w:abstractNum>
  <w:abstractNum w:abstractNumId="1" w15:restartNumberingAfterBreak="0">
    <w:nsid w:val="0D8B4C28"/>
    <w:multiLevelType w:val="hybridMultilevel"/>
    <w:tmpl w:val="2F6A5D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66A1C68"/>
    <w:multiLevelType w:val="hybridMultilevel"/>
    <w:tmpl w:val="C59227FC"/>
    <w:lvl w:ilvl="0" w:tplc="0409000F">
      <w:start w:val="1"/>
      <w:numFmt w:val="decimal"/>
      <w:lvlText w:val="%1."/>
      <w:lvlJc w:val="left"/>
      <w:pPr>
        <w:ind w:left="2196" w:hanging="360"/>
      </w:pPr>
    </w:lvl>
    <w:lvl w:ilvl="1" w:tplc="04090019">
      <w:start w:val="1"/>
      <w:numFmt w:val="lowerLetter"/>
      <w:lvlText w:val="%2."/>
      <w:lvlJc w:val="left"/>
      <w:pPr>
        <w:ind w:left="2916" w:hanging="360"/>
      </w:pPr>
    </w:lvl>
    <w:lvl w:ilvl="2" w:tplc="0409001B">
      <w:start w:val="1"/>
      <w:numFmt w:val="lowerRoman"/>
      <w:lvlText w:val="%3."/>
      <w:lvlJc w:val="right"/>
      <w:pPr>
        <w:ind w:left="3636" w:hanging="180"/>
      </w:pPr>
    </w:lvl>
    <w:lvl w:ilvl="3" w:tplc="0409000F">
      <w:start w:val="1"/>
      <w:numFmt w:val="decimal"/>
      <w:lvlText w:val="%4."/>
      <w:lvlJc w:val="left"/>
      <w:pPr>
        <w:ind w:left="4356" w:hanging="360"/>
      </w:pPr>
    </w:lvl>
    <w:lvl w:ilvl="4" w:tplc="04090019">
      <w:start w:val="1"/>
      <w:numFmt w:val="lowerLetter"/>
      <w:lvlText w:val="%5."/>
      <w:lvlJc w:val="left"/>
      <w:pPr>
        <w:ind w:left="5076" w:hanging="360"/>
      </w:pPr>
    </w:lvl>
    <w:lvl w:ilvl="5" w:tplc="0409001B">
      <w:start w:val="1"/>
      <w:numFmt w:val="lowerRoman"/>
      <w:lvlText w:val="%6."/>
      <w:lvlJc w:val="right"/>
      <w:pPr>
        <w:ind w:left="5796" w:hanging="180"/>
      </w:pPr>
    </w:lvl>
    <w:lvl w:ilvl="6" w:tplc="0409000F">
      <w:start w:val="1"/>
      <w:numFmt w:val="decimal"/>
      <w:lvlText w:val="%7."/>
      <w:lvlJc w:val="left"/>
      <w:pPr>
        <w:ind w:left="6516" w:hanging="360"/>
      </w:pPr>
    </w:lvl>
    <w:lvl w:ilvl="7" w:tplc="04090019">
      <w:start w:val="1"/>
      <w:numFmt w:val="lowerLetter"/>
      <w:lvlText w:val="%8."/>
      <w:lvlJc w:val="left"/>
      <w:pPr>
        <w:ind w:left="7236" w:hanging="360"/>
      </w:pPr>
    </w:lvl>
    <w:lvl w:ilvl="8" w:tplc="0409001B">
      <w:start w:val="1"/>
      <w:numFmt w:val="lowerRoman"/>
      <w:lvlText w:val="%9."/>
      <w:lvlJc w:val="right"/>
      <w:pPr>
        <w:ind w:left="7956" w:hanging="180"/>
      </w:pPr>
    </w:lvl>
  </w:abstractNum>
  <w:abstractNum w:abstractNumId="3" w15:restartNumberingAfterBreak="0">
    <w:nsid w:val="67F03698"/>
    <w:multiLevelType w:val="hybridMultilevel"/>
    <w:tmpl w:val="276A9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FCE7040"/>
    <w:multiLevelType w:val="hybridMultilevel"/>
    <w:tmpl w:val="C59227FC"/>
    <w:lvl w:ilvl="0" w:tplc="0409000F">
      <w:start w:val="1"/>
      <w:numFmt w:val="decimal"/>
      <w:lvlText w:val="%1."/>
      <w:lvlJc w:val="left"/>
      <w:pPr>
        <w:ind w:left="2196" w:hanging="360"/>
      </w:pPr>
    </w:lvl>
    <w:lvl w:ilvl="1" w:tplc="04090019">
      <w:start w:val="1"/>
      <w:numFmt w:val="lowerLetter"/>
      <w:lvlText w:val="%2."/>
      <w:lvlJc w:val="left"/>
      <w:pPr>
        <w:ind w:left="2916" w:hanging="360"/>
      </w:pPr>
    </w:lvl>
    <w:lvl w:ilvl="2" w:tplc="0409001B">
      <w:start w:val="1"/>
      <w:numFmt w:val="lowerRoman"/>
      <w:lvlText w:val="%3."/>
      <w:lvlJc w:val="right"/>
      <w:pPr>
        <w:ind w:left="3636" w:hanging="180"/>
      </w:pPr>
    </w:lvl>
    <w:lvl w:ilvl="3" w:tplc="0409000F">
      <w:start w:val="1"/>
      <w:numFmt w:val="decimal"/>
      <w:lvlText w:val="%4."/>
      <w:lvlJc w:val="left"/>
      <w:pPr>
        <w:ind w:left="4356" w:hanging="360"/>
      </w:pPr>
    </w:lvl>
    <w:lvl w:ilvl="4" w:tplc="04090019">
      <w:start w:val="1"/>
      <w:numFmt w:val="lowerLetter"/>
      <w:lvlText w:val="%5."/>
      <w:lvlJc w:val="left"/>
      <w:pPr>
        <w:ind w:left="5076" w:hanging="360"/>
      </w:pPr>
    </w:lvl>
    <w:lvl w:ilvl="5" w:tplc="0409001B">
      <w:start w:val="1"/>
      <w:numFmt w:val="lowerRoman"/>
      <w:lvlText w:val="%6."/>
      <w:lvlJc w:val="right"/>
      <w:pPr>
        <w:ind w:left="5796" w:hanging="180"/>
      </w:pPr>
    </w:lvl>
    <w:lvl w:ilvl="6" w:tplc="0409000F">
      <w:start w:val="1"/>
      <w:numFmt w:val="decimal"/>
      <w:lvlText w:val="%7."/>
      <w:lvlJc w:val="left"/>
      <w:pPr>
        <w:ind w:left="6516" w:hanging="360"/>
      </w:pPr>
    </w:lvl>
    <w:lvl w:ilvl="7" w:tplc="04090019">
      <w:start w:val="1"/>
      <w:numFmt w:val="lowerLetter"/>
      <w:lvlText w:val="%8."/>
      <w:lvlJc w:val="left"/>
      <w:pPr>
        <w:ind w:left="7236" w:hanging="360"/>
      </w:pPr>
    </w:lvl>
    <w:lvl w:ilvl="8" w:tplc="0409001B">
      <w:start w:val="1"/>
      <w:numFmt w:val="lowerRoman"/>
      <w:lvlText w:val="%9."/>
      <w:lvlJc w:val="right"/>
      <w:pPr>
        <w:ind w:left="7956" w:hanging="180"/>
      </w:pPr>
    </w:lvl>
  </w:abstractNum>
  <w:abstractNum w:abstractNumId="5" w15:restartNumberingAfterBreak="0">
    <w:nsid w:val="72B01CD9"/>
    <w:multiLevelType w:val="hybridMultilevel"/>
    <w:tmpl w:val="C59227FC"/>
    <w:lvl w:ilvl="0" w:tplc="0409000F">
      <w:start w:val="1"/>
      <w:numFmt w:val="decimal"/>
      <w:lvlText w:val="%1."/>
      <w:lvlJc w:val="left"/>
      <w:pPr>
        <w:ind w:left="2196" w:hanging="360"/>
      </w:pPr>
    </w:lvl>
    <w:lvl w:ilvl="1" w:tplc="04090019">
      <w:start w:val="1"/>
      <w:numFmt w:val="lowerLetter"/>
      <w:lvlText w:val="%2."/>
      <w:lvlJc w:val="left"/>
      <w:pPr>
        <w:ind w:left="2916" w:hanging="360"/>
      </w:pPr>
    </w:lvl>
    <w:lvl w:ilvl="2" w:tplc="0409001B">
      <w:start w:val="1"/>
      <w:numFmt w:val="lowerRoman"/>
      <w:lvlText w:val="%3."/>
      <w:lvlJc w:val="right"/>
      <w:pPr>
        <w:ind w:left="3636" w:hanging="180"/>
      </w:pPr>
    </w:lvl>
    <w:lvl w:ilvl="3" w:tplc="0409000F">
      <w:start w:val="1"/>
      <w:numFmt w:val="decimal"/>
      <w:lvlText w:val="%4."/>
      <w:lvlJc w:val="left"/>
      <w:pPr>
        <w:ind w:left="4356" w:hanging="360"/>
      </w:pPr>
    </w:lvl>
    <w:lvl w:ilvl="4" w:tplc="04090019">
      <w:start w:val="1"/>
      <w:numFmt w:val="lowerLetter"/>
      <w:lvlText w:val="%5."/>
      <w:lvlJc w:val="left"/>
      <w:pPr>
        <w:ind w:left="5076" w:hanging="360"/>
      </w:pPr>
    </w:lvl>
    <w:lvl w:ilvl="5" w:tplc="0409001B">
      <w:start w:val="1"/>
      <w:numFmt w:val="lowerRoman"/>
      <w:lvlText w:val="%6."/>
      <w:lvlJc w:val="right"/>
      <w:pPr>
        <w:ind w:left="5796" w:hanging="180"/>
      </w:pPr>
    </w:lvl>
    <w:lvl w:ilvl="6" w:tplc="0409000F">
      <w:start w:val="1"/>
      <w:numFmt w:val="decimal"/>
      <w:lvlText w:val="%7."/>
      <w:lvlJc w:val="left"/>
      <w:pPr>
        <w:ind w:left="6516" w:hanging="360"/>
      </w:pPr>
    </w:lvl>
    <w:lvl w:ilvl="7" w:tplc="04090019">
      <w:start w:val="1"/>
      <w:numFmt w:val="lowerLetter"/>
      <w:lvlText w:val="%8."/>
      <w:lvlJc w:val="left"/>
      <w:pPr>
        <w:ind w:left="7236" w:hanging="360"/>
      </w:pPr>
    </w:lvl>
    <w:lvl w:ilvl="8" w:tplc="0409001B">
      <w:start w:val="1"/>
      <w:numFmt w:val="lowerRoman"/>
      <w:lvlText w:val="%9."/>
      <w:lvlJc w:val="right"/>
      <w:pPr>
        <w:ind w:left="7956"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681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68142&amp;lt;/CaseID&amp;gt;_x000d__x000a_        &amp;lt;CaseMonth&amp;gt;10&amp;lt;/CaseMonth&amp;gt;_x000d__x000a_        &amp;lt;CaseYear&amp;gt;2023&amp;lt;/CaseYear&amp;gt;_x000d__x000a_        &amp;lt;CaseNumber&amp;gt;20847&amp;lt;/CaseNumber&amp;gt;_x000d__x000a_        &amp;lt;NumeratorGroupID&amp;gt;1&amp;lt;/NumeratorGroupID&amp;gt;_x000d__x000a_        &amp;lt;CaseName&amp;gt;שגיא נ&amp;#39; דרעי ואח&amp;#39;&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20847-10-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0-15T10:33: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 ההרכב מועברים ללשכות - קבוע 27.5.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68142&amp;lt;/CaseID&amp;gt;_x000d__x000a_        &amp;lt;CaseMonth&amp;gt;10&amp;lt;/CaseMonth&amp;gt;_x000d__x000a_        &amp;lt;CaseYear&amp;gt;2023&amp;lt;/CaseYear&amp;gt;_x000d__x000a_        &amp;lt;CaseNumber&amp;gt;20847&amp;lt;/CaseNumber&amp;gt;_x000d__x000a_        &amp;lt;NumeratorGroupID&amp;gt;1&amp;lt;/NumeratorGroupID&amp;gt;_x000d__x000a_        &amp;lt;CaseName&amp;gt;שגיא נ&amp;#39; דרעי ואח&amp;#39;&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20847-10-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10-15T10:33: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 ההרכב מועברים ללשכות - קבוע 27.5.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09691&amp;lt;/DecisionID&amp;gt;_x000d__x000a_        &amp;lt;DecisionName&amp;gt;פסק דין  שניתנה ע&amp;quot;י  יונה אטדגי&amp;lt;/DecisionName&amp;gt;_x000d__x000a_        &amp;lt;DecisionStatusID&amp;gt;1&amp;lt;/DecisionStatusID&amp;gt;_x000d__x000a_        &amp;lt;DecisionStatusChangeDate&amp;gt;2024-08-06T11:32:41.337+03:00&amp;lt;/DecisionStatusChangeDate&amp;gt;_x000d__x000a_        &amp;lt;DecisionSignatureDate&amp;gt;2024-08-06T11:32:40.12+03:00&amp;lt;/DecisionSignatureDate&amp;gt;_x000d__x000a_        &amp;lt;DecisionSignatureUserID&amp;gt;012356945@GOV.IL&amp;lt;/DecisionSignatureUserID&amp;gt;_x000d__x000a_        &amp;lt;DecisionCreateDate&amp;gt;2024-08-06T10:51:58.84+03:00&amp;lt;/DecisionCreateDate&amp;gt;_x000d__x000a_        &amp;lt;DecisionChangeDate&amp;gt;2024-08-06T11:32:41.437+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208420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4309691&amp;lt;/DecisionID&amp;gt;_x000d__x000a_        &amp;lt;CaseID&amp;gt;80668142&amp;lt;/CaseID&amp;gt;_x000d__x000a_        &amp;lt;IsOriginal&amp;gt;true&amp;lt;/IsOriginal&amp;gt;_x000d__x000a_        &amp;lt;IsDeleted&amp;gt;false&amp;lt;/IsDeleted&amp;gt;_x000d__x000a_        &amp;lt;CaseName&amp;gt;שגיא נ&amp;#39; דרעי ואח&amp;#39;&amp;lt;/CaseName&amp;gt;_x000d__x000a_        &amp;lt;CaseDisplayIdentifier&amp;gt;20847-10-23 ע&amp;quot;א&amp;lt;/CaseDisplayIdentifier&amp;gt;_x000d__x000a_      &amp;lt;/dt_DecisionCase&amp;gt;_x000d__x000a_      &amp;lt;dt_DecisionJudgePanel diffgr:id=&amp;quot;dt_DecisionJudgePanel1&amp;quot; msdata:rowOrder=&amp;quot;0&amp;quot;&amp;gt;_x000d__x000a_        &amp;lt;DecisionID&amp;gt;154309691&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309691&amp;lt;/DecisionID&amp;gt;_x000d__x000a_        &amp;lt;JudgeID&amp;gt;059216838@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309691&amp;lt;/DecisionID&amp;gt;_x000d__x000a_        &amp;lt;JudgeID&amp;gt;033159567@GOV.IL&amp;lt;/JudgeID&amp;gt;_x000d__x000a_        &amp;lt;OrdinalNumber&amp;gt;3&amp;lt;/OrdinalNumber&amp;gt;_x000d__x000a_      &amp;lt;/dt_DecisionJudgePanel&amp;gt;_x000d__x000a_    &amp;lt;/DecisionDS&amp;gt;_x000d__x000a_  &amp;lt;/diffgr:diffgram&amp;gt;_x000d__x000a_&amp;lt;/DecisionDS&amp;gt;"/>
    <w:docVar w:name="DecisionID" w:val="154309691"/>
    <w:docVar w:name="docID" w:val="452084206"/>
    <w:docVar w:name="judgeUPN" w:val="012356945@GOV.IL"/>
    <w:docVar w:name="NGCS.TemplateCaseInterestID" w:val="10432"/>
    <w:docVar w:name="NGCS.TemplateCaseTypeID" w:val="10001"/>
    <w:docVar w:name="NGCS.TemplateCourtID" w:val="15"/>
    <w:docVar w:name="NGCS.TemplateProceedingID" w:val="14"/>
    <w:docVar w:name="noteDocID" w:val="452084206"/>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8016E"/>
    <w:rsid w:val="000A6B70"/>
    <w:rsid w:val="000B2E97"/>
    <w:rsid w:val="000D4A02"/>
    <w:rsid w:val="000D5854"/>
    <w:rsid w:val="001072A9"/>
    <w:rsid w:val="00121F97"/>
    <w:rsid w:val="001277D7"/>
    <w:rsid w:val="00132017"/>
    <w:rsid w:val="0014234E"/>
    <w:rsid w:val="00145A87"/>
    <w:rsid w:val="0017767F"/>
    <w:rsid w:val="001A776D"/>
    <w:rsid w:val="001C4003"/>
    <w:rsid w:val="001F5474"/>
    <w:rsid w:val="002352F7"/>
    <w:rsid w:val="002451C2"/>
    <w:rsid w:val="00295DD1"/>
    <w:rsid w:val="002B0372"/>
    <w:rsid w:val="00381D3A"/>
    <w:rsid w:val="003823DA"/>
    <w:rsid w:val="00431CA2"/>
    <w:rsid w:val="0043595F"/>
    <w:rsid w:val="004703D6"/>
    <w:rsid w:val="0047645A"/>
    <w:rsid w:val="004C7BB7"/>
    <w:rsid w:val="004D49A3"/>
    <w:rsid w:val="004E6E3C"/>
    <w:rsid w:val="005124F1"/>
    <w:rsid w:val="0051350E"/>
    <w:rsid w:val="00530BAD"/>
    <w:rsid w:val="00541598"/>
    <w:rsid w:val="00544B16"/>
    <w:rsid w:val="00547DB7"/>
    <w:rsid w:val="00567324"/>
    <w:rsid w:val="00580FB3"/>
    <w:rsid w:val="00590A51"/>
    <w:rsid w:val="005B0F49"/>
    <w:rsid w:val="005C7EC6"/>
    <w:rsid w:val="005D4BDB"/>
    <w:rsid w:val="005E2646"/>
    <w:rsid w:val="00622BAA"/>
    <w:rsid w:val="00625C89"/>
    <w:rsid w:val="00633C4F"/>
    <w:rsid w:val="00671BD5"/>
    <w:rsid w:val="006805C1"/>
    <w:rsid w:val="006816EC"/>
    <w:rsid w:val="00694556"/>
    <w:rsid w:val="006B5553"/>
    <w:rsid w:val="006C1CD0"/>
    <w:rsid w:val="006E1A53"/>
    <w:rsid w:val="007056AA"/>
    <w:rsid w:val="00744F41"/>
    <w:rsid w:val="007A24FE"/>
    <w:rsid w:val="007A35AA"/>
    <w:rsid w:val="007F1048"/>
    <w:rsid w:val="00820005"/>
    <w:rsid w:val="0083107C"/>
    <w:rsid w:val="00846D27"/>
    <w:rsid w:val="008610A7"/>
    <w:rsid w:val="008A5E3A"/>
    <w:rsid w:val="008D290C"/>
    <w:rsid w:val="008E1332"/>
    <w:rsid w:val="00903896"/>
    <w:rsid w:val="00927813"/>
    <w:rsid w:val="00944D13"/>
    <w:rsid w:val="00957C90"/>
    <w:rsid w:val="00986E02"/>
    <w:rsid w:val="009E0263"/>
    <w:rsid w:val="00A0260A"/>
    <w:rsid w:val="00A267CF"/>
    <w:rsid w:val="00A43458"/>
    <w:rsid w:val="00AC4E19"/>
    <w:rsid w:val="00AF1ED6"/>
    <w:rsid w:val="00B32C61"/>
    <w:rsid w:val="00B368FE"/>
    <w:rsid w:val="00B468F1"/>
    <w:rsid w:val="00B80CBD"/>
    <w:rsid w:val="00BC3369"/>
    <w:rsid w:val="00BF77EE"/>
    <w:rsid w:val="00C32E0F"/>
    <w:rsid w:val="00C42BF9"/>
    <w:rsid w:val="00C45D93"/>
    <w:rsid w:val="00C83E56"/>
    <w:rsid w:val="00CC2018"/>
    <w:rsid w:val="00CD0055"/>
    <w:rsid w:val="00CF64EB"/>
    <w:rsid w:val="00D053D2"/>
    <w:rsid w:val="00D319B3"/>
    <w:rsid w:val="00D53924"/>
    <w:rsid w:val="00D60849"/>
    <w:rsid w:val="00D96D8C"/>
    <w:rsid w:val="00DD337E"/>
    <w:rsid w:val="00E00B6F"/>
    <w:rsid w:val="00E2619B"/>
    <w:rsid w:val="00E50B33"/>
    <w:rsid w:val="00E54642"/>
    <w:rsid w:val="00E97908"/>
    <w:rsid w:val="00EF3ED0"/>
    <w:rsid w:val="00F17E56"/>
    <w:rsid w:val="00FE6F5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44B16"/>
    <w:pPr>
      <w:bidi w:val="0"/>
      <w:ind w:left="720"/>
      <w:contextualSpacing/>
    </w:pPr>
    <w:rPr>
      <w:rFonts w:asciiTheme="minorHAnsi" w:eastAsiaTheme="minorHAnsi" w:hAnsiTheme="minorHAnsi" w:cstheme="minorBidi"/>
      <w:noProof w:val="0"/>
      <w:lang w:val=""/>
    </w:rPr>
  </w:style>
  <w:style w:type="character" w:styleId="Hyperlink">
    <w:name w:val="Hyperlink"/>
    <w:basedOn w:val="a0"/>
    <w:uiPriority w:val="99"/>
    <w:unhideWhenUsed/>
    <w:rsid w:val="005E2646"/>
    <w:rPr>
      <w:color w:val="0000FF"/>
      <w:u w:val="single"/>
    </w:rPr>
  </w:style>
  <w:style w:type="character" w:styleId="FollowedHyperlink">
    <w:name w:val="FollowedHyperlink"/>
    <w:basedOn w:val="a0"/>
    <w:semiHidden/>
    <w:unhideWhenUsed/>
    <w:rsid w:val="00590A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0890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073542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78401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idclawreview.org/2018/08/22/vol22_weinroth"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safrut/book/36825"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www.nevo.co.il/psika_html/elyon/16033840-A03.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3.pn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275CB266BFB6439FBA88E39E8F937F00"/>
        <w:category>
          <w:name w:val="כללי"/>
          <w:gallery w:val="placeholder"/>
        </w:category>
        <w:types>
          <w:type w:val="bbPlcHdr"/>
        </w:types>
        <w:behaviors>
          <w:behavior w:val="content"/>
        </w:behaviors>
        <w:guid w:val="{E51E9CA7-94C5-4959-BC40-5C9B54FA1239}"/>
      </w:docPartPr>
      <w:docPartBody>
        <w:p w:rsidR="0057666B" w:rsidRDefault="00DD61C1" w:rsidP="00DD61C1">
          <w:pPr>
            <w:pStyle w:val="275CB266BFB6439FBA88E39E8F937F00"/>
          </w:pPr>
          <w:r>
            <w:rPr>
              <w:rFonts w:cs="David"/>
              <w:b/>
              <w:bCs/>
              <w:rtl/>
            </w:rPr>
            <w:t>מעמד חותם</w:t>
          </w:r>
        </w:p>
      </w:docPartBody>
    </w:docPart>
    <w:docPart>
      <w:docPartPr>
        <w:name w:val="011E6C119652479EABA092C4CEBD7AE4"/>
        <w:category>
          <w:name w:val="כללי"/>
          <w:gallery w:val="placeholder"/>
        </w:category>
        <w:types>
          <w:type w:val="bbPlcHdr"/>
        </w:types>
        <w:behaviors>
          <w:behavior w:val="content"/>
        </w:behaviors>
        <w:guid w:val="{C3A5DC92-C7E0-4C95-9429-41CEDA4ECA94}"/>
      </w:docPartPr>
      <w:docPartBody>
        <w:p w:rsidR="00B721CB" w:rsidRDefault="0057666B" w:rsidP="0057666B">
          <w:pPr>
            <w:pStyle w:val="011E6C119652479EABA092C4CEBD7AE4"/>
          </w:pPr>
          <w:r>
            <w:rPr>
              <w:rFonts w:cs="David"/>
              <w:b/>
              <w:bCs/>
              <w:rtl/>
            </w:rPr>
            <w:t>שם פרטי חותם</w:t>
          </w:r>
        </w:p>
      </w:docPartBody>
    </w:docPart>
    <w:docPart>
      <w:docPartPr>
        <w:name w:val="AAA515285ECE46019EB669A8826221F0"/>
        <w:category>
          <w:name w:val="כללי"/>
          <w:gallery w:val="placeholder"/>
        </w:category>
        <w:types>
          <w:type w:val="bbPlcHdr"/>
        </w:types>
        <w:behaviors>
          <w:behavior w:val="content"/>
        </w:behaviors>
        <w:guid w:val="{95FBAE0E-5931-401E-8C28-DDB6C6F4D19F}"/>
      </w:docPartPr>
      <w:docPartBody>
        <w:p w:rsidR="00B721CB" w:rsidRDefault="0057666B" w:rsidP="0057666B">
          <w:pPr>
            <w:pStyle w:val="AAA515285ECE46019EB669A8826221F0"/>
          </w:pPr>
          <w:r>
            <w:rPr>
              <w:rFonts w:cs="David"/>
              <w:b/>
              <w:bCs/>
              <w:rtl/>
            </w:rPr>
            <w:t>שם משפחה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661AA"/>
    <w:rsid w:val="00227C29"/>
    <w:rsid w:val="0057666B"/>
    <w:rsid w:val="007562F1"/>
    <w:rsid w:val="00B721CB"/>
    <w:rsid w:val="00CC5512"/>
    <w:rsid w:val="00DD61C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275CB266BFB6439FBA88E39E8F937F00">
    <w:name w:val="275CB266BFB6439FBA88E39E8F937F00"/>
    <w:rsid w:val="00DD61C1"/>
    <w:pPr>
      <w:bidi/>
    </w:pPr>
  </w:style>
  <w:style w:type="paragraph" w:customStyle="1" w:styleId="2670ABD5C4B44F079D3BE6A03EDCC35E">
    <w:name w:val="2670ABD5C4B44F079D3BE6A03EDCC35E"/>
    <w:rsid w:val="00DD61C1"/>
    <w:pPr>
      <w:bidi/>
    </w:pPr>
  </w:style>
  <w:style w:type="paragraph" w:customStyle="1" w:styleId="3B07DBB4D0A64199A55E4A280F7781A3">
    <w:name w:val="3B07DBB4D0A64199A55E4A280F7781A3"/>
    <w:rsid w:val="00DD61C1"/>
    <w:pPr>
      <w:bidi/>
    </w:pPr>
  </w:style>
  <w:style w:type="paragraph" w:customStyle="1" w:styleId="EACD89124BB2423CAB1EA2BFF250C13D">
    <w:name w:val="EACD89124BB2423CAB1EA2BFF250C13D"/>
    <w:rsid w:val="00DD61C1"/>
    <w:pPr>
      <w:bidi/>
    </w:pPr>
  </w:style>
  <w:style w:type="paragraph" w:customStyle="1" w:styleId="C9499036D65D458E88392C6843E1BA73">
    <w:name w:val="C9499036D65D458E88392C6843E1BA73"/>
    <w:rsid w:val="00DD61C1"/>
    <w:pPr>
      <w:bidi/>
    </w:pPr>
  </w:style>
  <w:style w:type="paragraph" w:customStyle="1" w:styleId="011E6C119652479EABA092C4CEBD7AE4">
    <w:name w:val="011E6C119652479EABA092C4CEBD7AE4"/>
    <w:rsid w:val="0057666B"/>
    <w:pPr>
      <w:bidi/>
    </w:pPr>
  </w:style>
  <w:style w:type="paragraph" w:customStyle="1" w:styleId="AAA515285ECE46019EB669A8826221F0">
    <w:name w:val="AAA515285ECE46019EB669A8826221F0"/>
    <w:rsid w:val="0057666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צ'רלי בוזגלו</FullName>
        <FirstName>צ'רלי</FirstName>
        <LastName>בוזגלו</LastName>
        <PartyPropertyName/>
        <AuthenticationTypeAndNumber>מ.ר. 42951</AuthenticationTypeAndNumber>
        <RepresentatedOrRepresentativesNames>חנה דרעי, אירה טיטלבאום</RepresentatedOrRepresentativesNames>
        <RepresentatedOrRepresentativesCount>2</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261639890</CasePartyID>
        <PartyTypeID>2</PartyTypeID>
        <ActivityStatusID>1</ActivityStatusID>
        <PartyAliasID>23</PartyAliasID>
        <PartyAliasName>בא כוח משיבים</PartyAliasName>
        <LegalEntityID>418567</LegalEntityID>
        <CaseLegalEntityID>126302939</CaseLegalEntityID>
        <AuthenticationTypeID>4</AuthenticationTypeID>
        <AuthenticationTypeName>מ.ר.</AuthenticationTypeName>
        <LegalEntityNumber>42951</LegalEntityNumber>
        <IsMainPartyType>true</IsMainPartyType>
        <CaseDisplayIdentifier>20847-10-23</CaseDisplayIdentifier>
        <CaseTypeID>10001</CaseTypeID>
        <CaseTypeName>ערעור אזרחי (ע"א)</CaseTypeName>
        <CaseName>שגיא נ' דרעי ואח'</CaseName>
        <FullAddress>ברקוביץ  4 תל אביב -יפו קומה 9  מגדל המוזיאון</FullAddress>
        <EmailAddress>charlie@bouzaglo-law.com</EmailAddress>
        <MotionID>0</MotionID>
        <CasePleaID>0</CasePleaID>
        <LinkedCaseID>0</LinkedCaseID>
        <PartyID>2</PartyID>
        <CasePartyCategoryID>2</CasePartyCategoryID>
        <LegalEntityAddressID>85755834</LegalEntityAddressID>
        <LegalEntityEmailAddressID>68146608</LegalEntityEmailAddressID>
        <PleaTypeID>6</PleaTypeID>
        <LawyerOfficeName>משרד עו"ד: צ'רלי בוזגלו</LawyerOfficeName>
        <LawyerOfficeID>459211</LawyerOfficeID>
        <GroupPartyAlias/>
        <IsConverted>false</IsConverted>
        <LegalEntityNameID>39551</LegalEntityNameID>
        <RepresentatedNamesOfAssistant/>
        <LegalEntityTypeID>4</LegalEntityTypeID>
        <IsVerdictExists>false</IsVerdictExists>
        <IsAsirAzir>false</IsAsirAzir>
        <MainAndSecSpec/>
        <IsPublicationProhibited>false</IsPublicationProhibited>
        <PublicationProhibitedFullName>צ'רלי בוזגלו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אביתר אנגלרד</FullName>
        <FirstName>אביתר</FirstName>
        <LastName>אנגלרד</LastName>
        <PartyPropertyName/>
        <AuthenticationTypeAndNumber>מ.ר. 15286</AuthenticationTypeAndNumber>
        <RepresentatedOrRepresentativesNames>שאול שגיא</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261457721</CasePartyID>
        <PartyTypeID>2</PartyTypeID>
        <ActivityStatusID>1</ActivityStatusID>
        <PartyAliasID>24</PartyAliasID>
        <PartyAliasName>בא כוח מערערים</PartyAliasName>
        <OrdinalNumber>1</OrdinalNumber>
        <LegalEntityID>383781</LegalEntityID>
        <CaseLegalEntityID>126242954</CaseLegalEntityID>
        <AuthenticationTypeID>4</AuthenticationTypeID>
        <AuthenticationTypeName>מ.ר.</AuthenticationTypeName>
        <LegalEntityNumber>15286</LegalEntityNumber>
        <IsMainPartyType>true</IsMainPartyType>
        <CaseDisplayIdentifier>20847-10-23</CaseDisplayIdentifier>
        <CaseTypeID>10001</CaseTypeID>
        <CaseTypeName>ערעור אזרחי (ע"א)</CaseTypeName>
        <CaseName>שגיא נ' דרעי ואח'</CaseName>
        <FullAddress>בר כוכבא 23 בני ברק </FullAddress>
        <EmailAddress>office@ame-law.co.il</EmailAddress>
        <MotionID>0</MotionID>
        <CasePleaID>0</CasePleaID>
        <LinkedCaseID>0</LinkedCaseID>
        <PartyID>1</PartyID>
        <CasePartyCategoryID>2</CasePartyCategoryID>
        <LegalEntityAddressID>75207595</LegalEntityAddressID>
        <LegalEntityEmailAddressID>68381325</LegalEntityEmailAddressID>
        <PleaTypeID>6</PleaTypeID>
        <LawyerOfficeName>משרד עו"ד: אביתר אנגלרד</LawyerOfficeName>
        <LawyerOfficeID>424425</LawyerOfficeID>
        <GroupPartyAlias/>
        <IsConverted>false</IsConverted>
        <LegalEntityNameID>4765</LegalEntityNameID>
        <RepresentatedNamesOfAssistant/>
        <LegalEntityTypeID>4</LegalEntityTypeID>
        <IsVerdictExists>false</IsVerdictExists>
        <IsAsirAzir>false</IsAsirAzir>
        <MainAndSecSpec/>
        <IsPublicationProhibited>false</IsPublicationProhibited>
        <PublicationProhibitedFullName>אביתר אנגלרד</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שאול שגיא</FullName>
        <FirstName>שאול</FirstName>
        <LastName>שגיא</LastName>
        <PartyPropertyName/>
        <AuthenticationTypeAndNumber>ת"ז 054013131</AuthenticationTypeAndNumber>
        <RepresentatedOrRepresentativesNames>אביתר אנגלרד</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261457718</CasePartyID>
        <PartyTypeID>1</PartyTypeID>
        <ActivityStatusID>1</ActivityStatusID>
        <PartyAliasID>5</PartyAliasID>
        <PartyAliasName>מערער</PartyAliasName>
        <OrdinalNumber>1</OrdinalNumber>
        <LegalEntityID>7553069</LegalEntityID>
        <CaseLegalEntityID>126242951</CaseLegalEntityID>
        <AuthenticationTypeID>1</AuthenticationTypeID>
        <AuthenticationTypeName>ת"ז</AuthenticationTypeName>
        <LegalEntityNumber>054013131</LegalEntityNumber>
        <IsMainPartyType>true</IsMainPartyType>
        <CaseDisplayIdentifier>20847-10-23</CaseDisplayIdentifier>
        <CaseTypeID>10001</CaseTypeID>
        <CaseTypeName>ערעור אזרחי (ע"א)</CaseTypeName>
        <CaseName>שגיא נ' דרעי ואח'</CaseName>
        <FullAddress>הרב פרידמן 1 /בירנבאום 5 תל אביב -יפו </FullAddress>
        <MotionID>0</MotionID>
        <CasePleaID>0</CasePleaID>
        <FatherName>משה</FatherName>
        <LinkedCaseID>0</LinkedCaseID>
        <PartyID>1</PartyID>
        <CasePartyCategoryID>2</CasePartyCategoryID>
        <LegalEntityAddressID>85824130</LegalEntityAddressID>
        <GrandfatherName/>
        <DrivingLicenseNumber>765760</DrivingLicenseNumber>
        <PleaTypeID>6</PleaTypeID>
        <GroupPartyAlias>מערערים</GroupPartyAlias>
        <IsConverted>false</IsConverted>
        <LegalEntityRegisteredNameID>10520279</LegalEntityRegisteredNameID>
        <LegalEntityNameID>92210673</LegalEntityNameID>
        <RepresentatedNamesOfAssistant/>
        <LegalEntityTypeID>1</LegalEntityTypeID>
        <IsVerdictExists>false</IsVerdictExists>
        <IsAsirAzir>false</IsAsirAzir>
        <MainAndSecSpec/>
        <IsPublicationProhibited>false</IsPublicationProhibited>
        <PublicationProhibitedFullName>שאול שגיא</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חנה דרעי</FullName>
        <FirstName>חנה</FirstName>
        <LastName>דרעי</LastName>
        <PartyPropertyName/>
        <AuthenticationTypeAndNumber>ת"ז 056235583</AuthenticationTypeAndNumber>
        <RepresentatedOrRepresentativesNames>צ'רלי בוזגלו</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261457719</CasePartyID>
        <PartyTypeID>1</PartyTypeID>
        <ActivityStatusID>1</ActivityStatusID>
        <PartyAliasID>4</PartyAliasID>
        <PartyAliasName>משיב</PartyAliasName>
        <OrdinalNumber>1</OrdinalNumber>
        <LegalEntityID>78730369</LegalEntityID>
        <CaseLegalEntityID>126242952</CaseLegalEntityID>
        <AuthenticationTypeID>1</AuthenticationTypeID>
        <AuthenticationTypeName>ת"ז</AuthenticationTypeName>
        <LegalEntityNumber>056235583</LegalEntityNumber>
        <IsMainPartyType>true</IsMainPartyType>
        <CaseDisplayIdentifier>20847-10-23</CaseDisplayIdentifier>
        <CaseTypeID>10001</CaseTypeID>
        <CaseTypeName>ערעור אזרחי (ע"א)</CaseTypeName>
        <CaseName>שגיא נ' דרעי ואח'</CaseName>
        <FullAddress>יצחק בראלי    6 תל אביב -יפו </FullAddress>
        <MotionID>0</MotionID>
        <CasePleaID>0</CasePleaID>
        <FatherName>אלברט</FatherName>
        <LinkedCaseID>0</LinkedCaseID>
        <PartyID>2</PartyID>
        <CasePartyCategoryID>2</CasePartyCategoryID>
        <LegalEntityAddressID>85807066</LegalEntityAddressID>
        <PleaTypeID>6</PleaTypeID>
        <GroupPartyAlias>משיבים</GroupPartyAlias>
        <IsConverted>false</IsConverted>
        <LegalEntityRegisteredNameID>9707355</LegalEntityRegisteredNameID>
        <LegalEntityNameID>92210672</LegalEntityNameID>
        <RepresentatedNamesOfAssistant/>
        <LegalEntityTypeID>1</LegalEntityTypeID>
        <IsVerdictExists>false</IsVerdictExists>
        <IsAsirAzir>false</IsAsirAzir>
        <MainAndSecSpec/>
        <IsPublicationProhibited>false</IsPublicationProhibited>
        <PublicationProhibitedFullName>חנה דרעי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אירה טיטלבאום</FullName>
        <FirstName>אירינה</FirstName>
        <LastName>טיטלבאום</LastName>
        <PartyPropertyName/>
        <AuthenticationTypeAndNumber>ת"ז 014564504</AuthenticationTypeAndNumber>
        <RepresentatedOrRepresentativesNames>צ'רלי בוזגלו</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261457720</CasePartyID>
        <PartyTypeID>1</PartyTypeID>
        <ActivityStatusID>1</ActivityStatusID>
        <PartyAliasID>4</PartyAliasID>
        <PartyAliasName>משיב</PartyAliasName>
        <OrdinalNumber>2</OrdinalNumber>
        <LegalEntityID>16571684</LegalEntityID>
        <CaseLegalEntityID>126242953</CaseLegalEntityID>
        <AuthenticationTypeID>1</AuthenticationTypeID>
        <AuthenticationTypeName>ת"ז</AuthenticationTypeName>
        <LegalEntityNumber>014564504</LegalEntityNumber>
        <IsMainPartyType>true</IsMainPartyType>
        <CaseDisplayIdentifier>20847-10-23</CaseDisplayIdentifier>
        <CaseTypeID>10001</CaseTypeID>
        <CaseTypeName>ערעור אזרחי (ע"א)</CaseTypeName>
        <CaseName>שגיא נ' דרעי ואח'</CaseName>
        <FullAddress>בזל 35 תל אביב -יפו </FullAddress>
        <MotionID>0</MotionID>
        <CasePleaID>0</CasePleaID>
        <FatherName>בן ציון</FatherName>
        <LinkedCaseID>0</LinkedCaseID>
        <PartyID>2</PartyID>
        <CasePartyCategoryID>2</CasePartyCategoryID>
        <LegalEntityAddressID>85807065</LegalEntityAddressID>
        <PleaTypeID>6</PleaTypeID>
        <GroupPartyAlias>משיבים</GroupPartyAlias>
        <IsConverted>false</IsConverted>
        <LegalEntityRegisteredNameID>8968346</LegalEntityRegisteredNameID>
        <LegalEntityNameID>92210671</LegalEntityNameID>
        <RepresentatedNamesOfAssistant/>
        <LegalEntityTypeID>1</LegalEntityTypeID>
        <IsVerdictExists>false</IsVerdictExists>
        <IsAsirAzir>false</IsAsirAzir>
        <MainAndSecSpec/>
        <IsPublicationProhibited>false</IsPublicationProhibited>
        <PublicationProhibitedFullName>אירה טיטלבאום</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2024-08-06T10:46:42.4151328+03:00</DecisionSignatureDate>
    <OpenCaseDate>2023-10-15T10:33:00+03:00</OpenCaseDate>
    <CaseFeeSum>0.000</CaseFeeSum>
    <DecisionTypeID>2</DecisionTypeID>
    <DecisionSignatureUserName>יונה אטדגי</DecisionSignatureUserName>
    <DecisionSignatureDateHebrew>2024-08-06T10:46:42.4151328+03:00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שגיא נ' דרעי ואח'</CaseName>
    <DecisionNumberInCase>7</DecisionNumberInCase>
  </dt_Decision>
  <dt_DecisionCase>
    <DecisionID>0</DecisionID>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צ'רלי בוזגלו</FullName>
        <FirstName>צ'רלי</FirstName>
        <LastName>בוזגלו</LastName>
        <PartyPropertyName/>
        <AuthenticationTypeAndNumber>מ.ר. 42951</AuthenticationTypeAndNumber>
        <RepresentatedOrRepresentativesNames>חנה דרעי, אירה טיטלבאום</RepresentatedOrRepresentativesNames>
        <RepresentatedOrRepresentativesCount>2</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261639890</CasePartyID>
        <PartyTypeID>2</PartyTypeID>
        <ActivityStatusID>1</ActivityStatusID>
        <PartyAliasID>23</PartyAliasID>
        <PartyAliasName>בא כוח משיבים</PartyAliasName>
        <LegalEntityID>418567</LegalEntityID>
        <CaseLegalEntityID>126302939</CaseLegalEntityID>
        <AuthenticationTypeID>4</AuthenticationTypeID>
        <AuthenticationTypeName>מ.ר.</AuthenticationTypeName>
        <LegalEntityNumber>42951</LegalEntityNumber>
        <IsMainPartyType>true</IsMainPartyType>
        <CaseDisplayIdentifier>20847-10-23</CaseDisplayIdentifier>
        <CaseTypeID>10001</CaseTypeID>
        <CaseTypeName>ערעור אזרחי (ע"א)</CaseTypeName>
        <CaseName>שגיא נ' דרעי ואח'</CaseName>
        <FullAddress>ברקוביץ  4 תל אביב -יפו קומה 9  מגדל המוזיאון</FullAddress>
        <EmailAddress>charlie@bouzaglo-law.com</EmailAddress>
        <MotionID>0</MotionID>
        <CasePleaID>0</CasePleaID>
        <LinkedCaseID>0</LinkedCaseID>
        <PartyID>2</PartyID>
        <CasePartyCategoryID>2</CasePartyCategoryID>
        <LegalEntityAddressID>85755834</LegalEntityAddressID>
        <LegalEntityEmailAddressID>68146608</LegalEntityEmailAddressID>
        <PleaTypeID>6</PleaTypeID>
        <LawyerOfficeName>משרד עו"ד: צ'רלי בוזגלו</LawyerOfficeName>
        <LawyerOfficeID>459211</LawyerOfficeID>
        <GroupPartyAlias/>
        <IsConverted>false</IsConverted>
        <LegalEntityNameID>39551</LegalEntityNameID>
        <RepresentatedNamesOfAssistant/>
        <LegalEntityTypeID>4</LegalEntityTypeID>
        <IsVerdictExists>false</IsVerdictExists>
        <IsAsirAzir>false</IsAsirAzir>
        <MainAndSecSpec/>
        <IsPublicationProhibited>false</IsPublicationProhibited>
        <PublicationProhibitedFullName>צ'רלי בוזגלו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אביתר אנגלרד</FullName>
        <FirstName>אביתר</FirstName>
        <LastName>אנגלרד</LastName>
        <PartyPropertyName/>
        <AuthenticationTypeAndNumber>מ.ר. 15286</AuthenticationTypeAndNumber>
        <RepresentatedOrRepresentativesNames>שאול שגיא</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261457721</CasePartyID>
        <PartyTypeID>2</PartyTypeID>
        <ActivityStatusID>1</ActivityStatusID>
        <PartyAliasID>24</PartyAliasID>
        <PartyAliasName>בא כוח מערערים</PartyAliasName>
        <OrdinalNumber>1</OrdinalNumber>
        <LegalEntityID>383781</LegalEntityID>
        <CaseLegalEntityID>126242954</CaseLegalEntityID>
        <AuthenticationTypeID>4</AuthenticationTypeID>
        <AuthenticationTypeName>מ.ר.</AuthenticationTypeName>
        <LegalEntityNumber>15286</LegalEntityNumber>
        <IsMainPartyType>true</IsMainPartyType>
        <CaseDisplayIdentifier>20847-10-23</CaseDisplayIdentifier>
        <CaseTypeID>10001</CaseTypeID>
        <CaseTypeName>ערעור אזרחי (ע"א)</CaseTypeName>
        <CaseName>שגיא נ' דרעי ואח'</CaseName>
        <FullAddress>בר כוכבא 23 בני ברק </FullAddress>
        <EmailAddress>office@ame-law.co.il</EmailAddress>
        <MotionID>0</MotionID>
        <CasePleaID>0</CasePleaID>
        <LinkedCaseID>0</LinkedCaseID>
        <PartyID>1</PartyID>
        <CasePartyCategoryID>2</CasePartyCategoryID>
        <LegalEntityAddressID>75207595</LegalEntityAddressID>
        <LegalEntityEmailAddressID>68381325</LegalEntityEmailAddressID>
        <PleaTypeID>6</PleaTypeID>
        <LawyerOfficeName>משרד עו"ד: אביתר אנגלרד</LawyerOfficeName>
        <LawyerOfficeID>424425</LawyerOfficeID>
        <GroupPartyAlias/>
        <IsConverted>false</IsConverted>
        <LegalEntityNameID>4765</LegalEntityNameID>
        <RepresentatedNamesOfAssistant/>
        <LegalEntityTypeID>4</LegalEntityTypeID>
        <IsVerdictExists>false</IsVerdictExists>
        <IsAsirAzir>false</IsAsirAzir>
        <MainAndSecSpec/>
        <IsPublicationProhibited>false</IsPublicationProhibited>
        <PublicationProhibitedFullName>אביתר אנגלרד</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שאול שגיא</FullName>
        <FirstName>שאול</FirstName>
        <LastName>שגיא</LastName>
        <PartyPropertyName/>
        <AuthenticationTypeAndNumber>ת"ז 054013131</AuthenticationTypeAndNumber>
        <RepresentatedOrRepresentativesNames>אביתר אנגלרד</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261457718</CasePartyID>
        <PartyTypeID>1</PartyTypeID>
        <ActivityStatusID>1</ActivityStatusID>
        <PartyAliasID>5</PartyAliasID>
        <PartyAliasName>מערער</PartyAliasName>
        <OrdinalNumber>1</OrdinalNumber>
        <LegalEntityID>7553069</LegalEntityID>
        <CaseLegalEntityID>126242951</CaseLegalEntityID>
        <AuthenticationTypeID>1</AuthenticationTypeID>
        <AuthenticationTypeName>ת"ז</AuthenticationTypeName>
        <LegalEntityNumber>054013131</LegalEntityNumber>
        <IsMainPartyType>true</IsMainPartyType>
        <CaseDisplayIdentifier>20847-10-23</CaseDisplayIdentifier>
        <CaseTypeID>10001</CaseTypeID>
        <CaseTypeName>ערעור אזרחי (ע"א)</CaseTypeName>
        <CaseName>שגיא נ' דרעי ואח'</CaseName>
        <FullAddress>הרב פרידמן 1 /בירנבאום 5 תל אביב -יפו </FullAddress>
        <MotionID>0</MotionID>
        <CasePleaID>0</CasePleaID>
        <FatherName>משה</FatherName>
        <LinkedCaseID>0</LinkedCaseID>
        <PartyID>1</PartyID>
        <CasePartyCategoryID>2</CasePartyCategoryID>
        <LegalEntityAddressID>85824130</LegalEntityAddressID>
        <GrandfatherName/>
        <DrivingLicenseNumber>765760</DrivingLicenseNumber>
        <PleaTypeID>6</PleaTypeID>
        <GroupPartyAlias>מערערים</GroupPartyAlias>
        <IsConverted>false</IsConverted>
        <LegalEntityRegisteredNameID>10520279</LegalEntityRegisteredNameID>
        <LegalEntityNameID>92210673</LegalEntityNameID>
        <RepresentatedNamesOfAssistant/>
        <LegalEntityTypeID>1</LegalEntityTypeID>
        <IsVerdictExists>false</IsVerdictExists>
        <IsAsirAzir>false</IsAsirAzir>
        <MainAndSecSpec/>
        <IsPublicationProhibited>false</IsPublicationProhibited>
        <PublicationProhibitedFullName>שאול שגיא</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חנה דרעי</FullName>
        <FirstName>חנה</FirstName>
        <LastName>דרעי</LastName>
        <PartyPropertyName/>
        <AuthenticationTypeAndNumber>ת"ז 056235583</AuthenticationTypeAndNumber>
        <RepresentatedOrRepresentativesNames>צ'רלי בוזגלו</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261457719</CasePartyID>
        <PartyTypeID>1</PartyTypeID>
        <ActivityStatusID>1</ActivityStatusID>
        <PartyAliasID>4</PartyAliasID>
        <PartyAliasName>משיב</PartyAliasName>
        <OrdinalNumber>1</OrdinalNumber>
        <LegalEntityID>78730369</LegalEntityID>
        <CaseLegalEntityID>126242952</CaseLegalEntityID>
        <AuthenticationTypeID>1</AuthenticationTypeID>
        <AuthenticationTypeName>ת"ז</AuthenticationTypeName>
        <LegalEntityNumber>056235583</LegalEntityNumber>
        <IsMainPartyType>true</IsMainPartyType>
        <CaseDisplayIdentifier>20847-10-23</CaseDisplayIdentifier>
        <CaseTypeID>10001</CaseTypeID>
        <CaseTypeName>ערעור אזרחי (ע"א)</CaseTypeName>
        <CaseName>שגיא נ' דרעי ואח'</CaseName>
        <FullAddress>יצחק בראלי    6 תל אביב -יפו </FullAddress>
        <MotionID>0</MotionID>
        <CasePleaID>0</CasePleaID>
        <FatherName>אלברט</FatherName>
        <LinkedCaseID>0</LinkedCaseID>
        <PartyID>2</PartyID>
        <CasePartyCategoryID>2</CasePartyCategoryID>
        <LegalEntityAddressID>85807066</LegalEntityAddressID>
        <PleaTypeID>6</PleaTypeID>
        <GroupPartyAlias>משיבים</GroupPartyAlias>
        <IsConverted>false</IsConverted>
        <LegalEntityRegisteredNameID>9707355</LegalEntityRegisteredNameID>
        <LegalEntityNameID>92210672</LegalEntityNameID>
        <RepresentatedNamesOfAssistant/>
        <LegalEntityTypeID>1</LegalEntityTypeID>
        <IsVerdictExists>false</IsVerdictExists>
        <IsAsirAzir>false</IsAsirAzir>
        <MainAndSecSpec/>
        <IsPublicationProhibited>false</IsPublicationProhibited>
        <PublicationProhibitedFullName>חנה דרעי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אירה טיטלבאום</FullName>
        <FirstName>אירינה</FirstName>
        <LastName>טיטלבאום</LastName>
        <PartyPropertyName/>
        <AuthenticationTypeAndNumber>ת"ז 014564504</AuthenticationTypeAndNumber>
        <RepresentatedOrRepresentativesNames>צ'רלי בוזגלו</RepresentatedOrRepresentativesNames>
        <RepresentatedOrRepresentativesCount>1</RepresentatedOrRepresentativesCount>
        <InvitedBy/>
        <CaseID>80668142</CaseID>
        <CaseJudicialPersonPresentationDS>
          <CaseJudicalPersonActive>
            <CaseID>80668142</CaseID>
            <JudicialPersonID>012356945@GOV.IL</JudicialPersonID>
            <JudicialPersonTypeID>1</JudicialPersonTypeID>
            <JudicialTypeID>3</JudicialTypeID>
            <IsChairman>true</IsChairman>
            <TreatmentStartDate>2024-02-01T14:45:18.657+02:00</TreatmentStartDate>
            <TreatmentFinishDate>9999-12-31T23:59:59.997+02:00</TreatmentFinishDate>
            <IdentificationCardNumber>012356945</IdentificationCardNumber>
            <DisplayName>יונה אטדגי</DisplayName>
            <JudicialTypeName>הרכב שופטים</JudicialTypeName>
            <CaseJudicialGroupNumber>566811</CaseJudicialGroupNumber>
            <FirstName>יונה</FirstName>
            <LastName>אטדגי</LastName>
            <JudicialPersonTitle>שופט</JudicialPersonTitle>
          </CaseJudicalPersonActive>
          <CaseJudicalPersonActive>
            <CaseID>80668142</CaseID>
            <JudicialPersonID>059216838@GOV.IL</JudicialPersonID>
            <JudicialPersonTypeID>1</JudicialPersonTypeID>
            <JudicialTypeID>3</JudicialTypeID>
            <IsChairman>false</IsChairman>
            <TreatmentStartDate>2024-02-01T14:45:18.657+02:00</TreatmentStartDate>
            <TreatmentFinishDate>9999-12-31T23:59:59.997+02:00</TreatmentFinishDate>
            <IdentificationCardNumber>059216838</IdentificationCardNumber>
            <DisplayName>עידית ברקוביץ</DisplayName>
            <JudicialTypeName>הרכב שופטים</JudicialTypeName>
            <CaseJudicialGroupNumber>566811</CaseJudicialGroupNumber>
            <FirstName>עידית</FirstName>
            <LastName>ברקוביץ</LastName>
            <JudicialPersonTitle>שופט</JudicialPersonTitle>
          </CaseJudicalPersonActive>
          <CaseJudicalPersonActive>
            <CaseID>80668142</CaseID>
            <JudicialPersonID>033159567@GOV.IL</JudicialPersonID>
            <JudicialPersonTypeID>1</JudicialPersonTypeID>
            <JudicialTypeID>3</JudicialTypeID>
            <IsChairman>false</IsChairman>
            <TreatmentStartDate>2024-02-01T14:45:18.657+02:00</TreatmentStartDate>
            <TreatmentFinishDate>9999-12-31T23:59:59.997+02:00</TreatmentFinishDate>
            <IdentificationCardNumber>033159567</IdentificationCardNumber>
            <DisplayName>טל לוי-מיכאלי</DisplayName>
            <JudicialTypeName>הרכב שופטים</JudicialTypeName>
            <CaseJudicialGroupNumber>566811</CaseJudicialGroupNumber>
            <FirstName>טל</FirstName>
            <LastName>לוי-מיכאלי</LastName>
            <JudicialPersonTitle>שופט</JudicialPersonTitle>
          </CaseJudicalPersonActive>
        </CaseJudicialPersonPresentationDS>
        <CasePartyID>261457720</CasePartyID>
        <PartyTypeID>1</PartyTypeID>
        <ActivityStatusID>1</ActivityStatusID>
        <PartyAliasID>4</PartyAliasID>
        <PartyAliasName>משיב</PartyAliasName>
        <OrdinalNumber>2</OrdinalNumber>
        <LegalEntityID>16571684</LegalEntityID>
        <CaseLegalEntityID>126242953</CaseLegalEntityID>
        <AuthenticationTypeID>1</AuthenticationTypeID>
        <AuthenticationTypeName>ת"ז</AuthenticationTypeName>
        <LegalEntityNumber>014564504</LegalEntityNumber>
        <IsMainPartyType>true</IsMainPartyType>
        <CaseDisplayIdentifier>20847-10-23</CaseDisplayIdentifier>
        <CaseTypeID>10001</CaseTypeID>
        <CaseTypeName>ערעור אזרחי (ע"א)</CaseTypeName>
        <CaseName>שגיא נ' דרעי ואח'</CaseName>
        <FullAddress>בזל 35 תל אביב -יפו </FullAddress>
        <MotionID>0</MotionID>
        <CasePleaID>0</CasePleaID>
        <FatherName>בן ציון</FatherName>
        <LinkedCaseID>0</LinkedCaseID>
        <PartyID>2</PartyID>
        <CasePartyCategoryID>2</CasePartyCategoryID>
        <LegalEntityAddressID>85807065</LegalEntityAddressID>
        <PleaTypeID>6</PleaTypeID>
        <GroupPartyAlias>משיבים</GroupPartyAlias>
        <IsConverted>false</IsConverted>
        <LegalEntityRegisteredNameID>8968346</LegalEntityRegisteredNameID>
        <LegalEntityNameID>92210671</LegalEntityNameID>
        <RepresentatedNamesOfAssistant/>
        <LegalEntityTypeID>1</LegalEntityTypeID>
        <IsVerdictExists>false</IsVerdictExists>
        <IsAsirAzir>false</IsAsirAzir>
        <MainAndSecSpec/>
        <IsPublicationProhibited>false</IsPublicationProhibited>
        <PublicationProhibitedFullName>אירה טיטלבאום</PublicationProhibitedFullName>
      </CaseParties>
    </CasePartiesSelectionDS>
    <CaseName>שגיא נ' דרעי ואח'</CaseName>
    <CaseDisplayIdentifier>20847-10-23</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059216838@GOV.IL</JudgeID>
    <DisplayName>ברקוביץ</DisplayName>
    <RoleName>שופט</RoleName>
    <UserTitleName>שופטת</UserTitleName>
  </dt_DecisionJudgePanel>
  <dt_DecisionJudgePanel>
    <JudgeID>033159567@GOV.IL</JudgeID>
    <DisplayName>לוי-מיכאלי</DisplayName>
    <RoleName>שופט</RoleName>
    <UserTitleName>שופטת</UserTitleName>
  </dt_DecisionJudgePanel>
  <dt_LegalEntityDetails>
    <Fax>03-6093710</Fax>
    <Phone>03-6099166</Phone>
    <AddressDesc>קומה 9  מגדל המוזיאון</AddressDesc>
    <PartyID>2</PartyID>
    <PartyTypeID>2</PartyTypeID>
    <DecisionID>0</DecisionID>
    <StreetName>ברקוביץ  4</StreetName>
    <ZipCode>6423806</ZipCode>
    <CityName>תל אביב -יפו</CityName>
    <FullName>צ'רלי בוזגלו</FullName>
    <Email>charlie@bouzaglo-law.com</Email>
    <IsPublicationProhibited>false</IsPublicationProhibited>
  </dt_LegalEntityDetails>
  <dt_LegalEntityDetails>
    <PartyID>1</PartyID>
    <PartyTypeID>1</PartyTypeID>
    <DecisionID>0</DecisionID>
    <StreetName>הרב פרידמן 1 /בירנבאום 5</StreetName>
    <CityName>תל אביב -יפו</CityName>
    <FullName>שאול  שגיא</FullName>
    <IsPublicationProhibited>false</IsPublicationProhibited>
  </dt_LegalEntityDetails>
  <dt_LegalEntityDetails>
    <PartyID>2</PartyID>
    <PartyTypeID>1</PartyTypeID>
    <DecisionID>0</DecisionID>
    <StreetName>יצחק בראלי    6</StreetName>
    <CityName>תל אביב -יפו</CityName>
    <FullName>חנה דרעי</FullName>
    <IsPublicationProhibited>false</IsPublicationProhibited>
  </dt_LegalEntityDetails>
  <dt_LegalEntityDetails>
    <Fax>03-7525677</Fax>
    <Phone>03-7525676</Phone>
    <PartyID>1</PartyID>
    <PartyTypeID>2</PartyTypeID>
    <DecisionID>0</DecisionID>
    <StreetName>בר כוכבא 23</StreetName>
    <ZipCode>5126002</ZipCode>
    <CityName>בני ברק</CityName>
    <FullName>אביתר אנגלרד</FullName>
    <Email>office@ame-law.co.il</Email>
    <IsPublicationProhibited>false</IsPublicationProhibited>
  </dt_LegalEntityDetails>
  <dt_LegalEntityDetails>
    <PartyID>2</PartyID>
    <PartyTypeID>1</PartyTypeID>
    <DecisionID>0</DecisionID>
    <StreetName>בזל 35</StreetName>
    <CityName>תל אביב -יפו</CityName>
    <FullName>אירה טיטלבאום</FullName>
    <IsPublicationProhibited>false</IsPublicationProhibited>
  </dt_LegalEntityDetails>
  <dt_CaseJudicalPersonActive>
    <CaseJudicalPerson>שופט יונה אטדגי, שופטת עידית ברקוביץ, שופטת טל לוי-מיכאלי</CaseJudicalPerson>
  </dt_CaseJudicalPersonActive>
  <dt_Sitting>
    <PreviousMeetingDate>2024-05-27T11:30:00+03:00</PreviousMeetingDate>
    <PreviousSittingTypeID>5</PreviousSittingTypeID>
    <PreviousMeetingDisplayName>יונה אטדגי, עידית ברקוביץ, טל לוי-מיכאלי</PreviousMeetingDisplayName>
    <PreviousMeetingUserUPN>012356945@GOV.IL, 033159567@GOV.IL, 059216838@GOV.IL</PreviousMeetingUserUPN>
  </dt_Sitting>
</DecisionTemplateDS>
</file>

<file path=customXml/itemProps1.xml><?xml version="1.0" encoding="utf-8"?>
<ds:datastoreItem xmlns:ds="http://schemas.openxmlformats.org/officeDocument/2006/customXml" ds:itemID="{FBF166EB-7E22-4E73-8167-AD95C1EF3099}">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2325</Words>
  <Characters>11625</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2024-08-12T08:06:00Z</dcterms:created>
  <dcterms:modified xsi:type="dcterms:W3CDTF">2024-08-12T08:06:00Z</dcterms:modified>
</cp:coreProperties>
</file>